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B1D1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XXXVI/238/2026</w:t>
      </w:r>
      <w:r>
        <w:rPr>
          <w:b/>
          <w:caps/>
        </w:rPr>
        <w:br/>
        <w:t>Rady Miejskiej w Barwicach</w:t>
      </w:r>
    </w:p>
    <w:p w14:paraId="77C8683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5E527319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2026-2035</w:t>
      </w:r>
    </w:p>
    <w:p w14:paraId="1C16689E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(t.j. Dz. U. 2025 r. poz. 1483 z późn. zm.) Rada Miejska w Barwicach uchwala co następuje:</w:t>
      </w:r>
    </w:p>
    <w:p w14:paraId="22B823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XXVIII/164/2025 Rady Miejskiej w Barwicach z dnia 19 grudnia 2025 r. w sprawie uchwalenia zmiany Wieloletniej Prognozy Finansowej Gminy Barwice na lata 2026-2035 z późn. zmianami wprowadza się następujące zmiany:</w:t>
      </w:r>
    </w:p>
    <w:p w14:paraId="0D33147E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2026-2035 otrzymuje brzmienie załącznika nr 1 do uchwały;</w:t>
      </w:r>
    </w:p>
    <w:p w14:paraId="7BA5D2BA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2392292D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do niniejszej uchwały.</w:t>
      </w:r>
    </w:p>
    <w:p w14:paraId="394263B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2F8181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2C0A4BC" w14:textId="77777777" w:rsidR="00A77B3E" w:rsidRDefault="00A77B3E">
      <w:pPr>
        <w:keepNext/>
        <w:keepLines/>
        <w:spacing w:before="120" w:after="120"/>
        <w:ind w:firstLine="340"/>
      </w:pPr>
    </w:p>
    <w:p w14:paraId="737CA89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53024" w14:paraId="1B6BED4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CC96E" w14:textId="77777777" w:rsidR="00B53024" w:rsidRDefault="00B5302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A83E54" w14:textId="77777777" w:rsidR="00B5302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67B0262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8171C8E" w14:textId="2CDA6CCC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1 do uchwały  nr  XXXVI/238/2026</w:t>
      </w:r>
      <w:r>
        <w:br/>
        <w:t>Rady Miejskiej w Barwicach</w:t>
      </w:r>
      <w:r>
        <w:br/>
        <w:t>z dnia 30 września 2026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79AF3AD7" w14:textId="31C169BB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2 do uchwały  nr  XXXVI/238/2026</w:t>
      </w:r>
      <w:r>
        <w:br/>
        <w:t>Rady Miejskiej w Barwicach</w:t>
      </w:r>
      <w:r>
        <w:br/>
        <w:t>z dnia 30 września 2026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52714057" w14:textId="77777777" w:rsidR="00B53024" w:rsidRDefault="00B5302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5DBE3BB8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Objaśnienia przyjętych wartości do Wieloletniej Prognozy Finansowej Gminy Barwice na lata 2026-2035</w:t>
      </w:r>
    </w:p>
    <w:p w14:paraId="6605F42F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Zgodnie ze zmianami w budżecie na dzień 30 września 2026 r., dokonano następujących zmian w Wieloletniej Prognozie Finansowej Gminy Barwice:</w:t>
      </w:r>
    </w:p>
    <w:p w14:paraId="0D758FF6" w14:textId="77777777" w:rsidR="00B5302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Dochody ogółem zmniejszono o 520 657,73 zł, z czego dochody bieżące zwiększono o 1 122 060,40 zł, a dochody majątkowe zmniejszono o 1 642 718,13 zł.</w:t>
      </w:r>
    </w:p>
    <w:p w14:paraId="72207E85" w14:textId="77777777" w:rsidR="00B5302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Wydatki ogółem zmniejszono o 520 657,73 zł, z czego wydatki bieżące zwiększono o 1 306 540,07 zł, a wydatki majątkowe zmniejszono o 1 827 197,80 zł.</w:t>
      </w:r>
    </w:p>
    <w:p w14:paraId="63A2B052" w14:textId="77777777" w:rsidR="00B53024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Wynik budżetu nie uległ zmianie.</w:t>
      </w:r>
    </w:p>
    <w:p w14:paraId="73532B4D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Szczegółowe informacje na temat zmian w zakresie dochodów, wydatków i wyniku budżetu w roku budżetowym przedstawiono w tabeli poniżej.</w:t>
      </w:r>
    </w:p>
    <w:p w14:paraId="58B1304B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Zmiany w dochodach i wydatkach w 2026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</w:tblGrid>
      <w:tr w:rsidR="00B53024" w14:paraId="6866A283" w14:textId="77777777">
        <w:trPr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688E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E258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3C88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093E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B53024" w14:paraId="58E085D4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722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ogółem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81D1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71 963 354,84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71425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-520 657,73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BD46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71 442 697,11</w:t>
            </w:r>
          </w:p>
        </w:tc>
      </w:tr>
      <w:tr w:rsidR="00B53024" w14:paraId="28334579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AED0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33B2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57 521 745,81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0D6F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+1 122 060,40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41B2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58 643 806,21</w:t>
            </w:r>
          </w:p>
        </w:tc>
      </w:tr>
      <w:tr w:rsidR="00B53024" w14:paraId="6A3BD7C8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CE86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Subwencja ogólna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BBEA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11 246 507,00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D2E2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+47 059,00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1991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11 293 566,00</w:t>
            </w:r>
          </w:p>
        </w:tc>
      </w:tr>
      <w:tr w:rsidR="00B53024" w14:paraId="7D1AF420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2036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Dotacje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84D0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10 142 770,25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090A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+879 417,27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A924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11 022 187,52</w:t>
            </w:r>
          </w:p>
        </w:tc>
      </w:tr>
      <w:tr w:rsidR="00B53024" w14:paraId="05A58EEB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4684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Pozostałe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096E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17 122 925,56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9D71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+195 584,13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E3A0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17 318 509,69</w:t>
            </w:r>
          </w:p>
        </w:tc>
      </w:tr>
      <w:tr w:rsidR="00B53024" w14:paraId="1C9CEEC6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8757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majątkowe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EEA2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14 441 609,03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A0CE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-1 642 718,13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CA90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12 798 890,90</w:t>
            </w:r>
          </w:p>
        </w:tc>
      </w:tr>
      <w:tr w:rsidR="00B53024" w14:paraId="6F37AE5E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0E01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ogółem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2D5F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77 346 107,51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709E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-520 657,73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C373A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76 825 449,78</w:t>
            </w:r>
          </w:p>
        </w:tc>
      </w:tr>
      <w:tr w:rsidR="00B53024" w14:paraId="7747D0A4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945E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BB59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57 506 868,53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13ED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+1 306 540,07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381C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58 813 408,60</w:t>
            </w:r>
          </w:p>
        </w:tc>
      </w:tr>
      <w:tr w:rsidR="00B53024" w14:paraId="2810407A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C19E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Wynagrodzenia i pochodne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1A127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22 814 625,48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3933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+334 866,37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33DA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23 149 491,85</w:t>
            </w:r>
          </w:p>
        </w:tc>
      </w:tr>
      <w:tr w:rsidR="00B53024" w14:paraId="28BA0461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64CE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Obsługa długu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0354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597 564,00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96B1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-150 000,00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F34D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447 564,00</w:t>
            </w:r>
          </w:p>
        </w:tc>
      </w:tr>
      <w:tr w:rsidR="00B53024" w14:paraId="37233BFA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6B78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Pozostałe wydatki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BC26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34 094 679,05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D0B9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+1 121 673,70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340A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35 216 352,75</w:t>
            </w:r>
          </w:p>
        </w:tc>
      </w:tr>
      <w:tr w:rsidR="00B53024" w14:paraId="79B064B5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0B75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majątkowe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6766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19 839 238,98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9E3B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-1 827 197,80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13B6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18 012 041,18</w:t>
            </w:r>
          </w:p>
        </w:tc>
      </w:tr>
    </w:tbl>
    <w:p w14:paraId="7F147DD8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502CBEAE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okresie prognozy WPF dokonano zmian w zakresie planowanych dochodów bieżących. Zmiany przedstawiono w tabeli poniżej.</w:t>
      </w:r>
    </w:p>
    <w:p w14:paraId="5F9BF2C0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dochodach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B53024" w14:paraId="33BCE24E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C8BE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50538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0E21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F79B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B53024" w14:paraId="47774638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2A42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1240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59 019 861,00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FAD5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+20 000,00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DA583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59 039 861,00</w:t>
            </w:r>
          </w:p>
        </w:tc>
      </w:tr>
    </w:tbl>
    <w:p w14:paraId="45CD9F12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7C5C4F60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okresie prognozy WPF dokonano zmian w zakresie planowanych wydatków bieżących i majątkowych. Zmiany przedstawiono w tabelach poniżej.</w:t>
      </w:r>
    </w:p>
    <w:p w14:paraId="7C5E0DE8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B53024" w14:paraId="6B4897A8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87D2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7504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0D78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B81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B53024" w14:paraId="48933E5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EFC8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B4BB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56 403 584,15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4A8E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+30 762,72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0CF0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56 434 346,87</w:t>
            </w:r>
          </w:p>
        </w:tc>
      </w:tr>
      <w:tr w:rsidR="00B53024" w14:paraId="23B9459C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AB68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8C0E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57 810 629,00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DBE7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+13 311,29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1369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57 823 940,29</w:t>
            </w:r>
          </w:p>
        </w:tc>
      </w:tr>
      <w:tr w:rsidR="00B53024" w14:paraId="6023220F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02EF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6838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59 440 003,00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0F56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+43 716,89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2AFE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59 483 719,89</w:t>
            </w:r>
          </w:p>
        </w:tc>
      </w:tr>
      <w:tr w:rsidR="00B53024" w14:paraId="2D0F393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E7E1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79CE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60 951 952,00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C443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+26 942,24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2695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60 978 894,24</w:t>
            </w:r>
          </w:p>
        </w:tc>
      </w:tr>
      <w:tr w:rsidR="00B53024" w14:paraId="49FC9754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1F4C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lastRenderedPageBreak/>
              <w:t>2031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93AC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62 488 049,00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1E4F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+28 500,63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A132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62 516 549,63</w:t>
            </w:r>
          </w:p>
        </w:tc>
      </w:tr>
      <w:tr w:rsidR="00B53024" w14:paraId="61AEFC4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6502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DAB7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64 043 266,00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75F7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+551,09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6992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64 043 817,09</w:t>
            </w:r>
          </w:p>
        </w:tc>
      </w:tr>
      <w:tr w:rsidR="00B53024" w14:paraId="2B7F608A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0509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F5CF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65 651 484,00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E092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+12 876,11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126E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65 664 360,11</w:t>
            </w:r>
          </w:p>
        </w:tc>
      </w:tr>
      <w:tr w:rsidR="00B53024" w14:paraId="5BE75A83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74D1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49B8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67 296 097,00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085A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+9 618,33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352A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67 305 715,33</w:t>
            </w:r>
          </w:p>
        </w:tc>
      </w:tr>
      <w:tr w:rsidR="00B53024" w14:paraId="0FCF3297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83F1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A081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68 975 746,00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60C7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+5 910,56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FE9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68 981 656,56</w:t>
            </w:r>
          </w:p>
        </w:tc>
      </w:tr>
    </w:tbl>
    <w:p w14:paraId="1AD479C3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644FFC70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B53024" w14:paraId="69B60F03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4434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5FEE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053A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6444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B53024" w14:paraId="43AAF893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6AE15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3E57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3 652 521,93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66FF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-30 762,72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2A5A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3 621 759,21</w:t>
            </w:r>
          </w:p>
        </w:tc>
      </w:tr>
      <w:tr w:rsidR="00B53024" w14:paraId="5B7C6F4A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EFCB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0CB4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3 597 738,33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20B8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+6 688,71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0F32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3 604 427,04</w:t>
            </w:r>
          </w:p>
        </w:tc>
      </w:tr>
      <w:tr w:rsidR="00B53024" w14:paraId="4A1395D1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6411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C466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451 106,00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5D3F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-43 716,89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11F1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407 389,11</w:t>
            </w:r>
          </w:p>
        </w:tc>
      </w:tr>
      <w:tr w:rsidR="00B53024" w14:paraId="34561D27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75D8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CAFE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577 007,00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52E6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-26 942,24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2C89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550 064,76</w:t>
            </w:r>
          </w:p>
        </w:tc>
      </w:tr>
      <w:tr w:rsidR="00B53024" w14:paraId="5D66CC49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921E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6A43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211 384,00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7064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-28 500,63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7ECD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182 883,37</w:t>
            </w:r>
          </w:p>
        </w:tc>
      </w:tr>
      <w:tr w:rsidR="00B53024" w14:paraId="45F487EE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8079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7FFC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9 910,00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C398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-551,09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8C25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9 358,91</w:t>
            </w:r>
          </w:p>
        </w:tc>
      </w:tr>
      <w:tr w:rsidR="00B53024" w14:paraId="65305F7E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F86C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19D6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637 680,00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FC1C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-12 876,11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A78F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624 803,89</w:t>
            </w:r>
          </w:p>
        </w:tc>
      </w:tr>
      <w:tr w:rsidR="00B53024" w14:paraId="4EFAF713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C5FF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A052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670 297,00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4B07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-9 618,33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386E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660 678,67</w:t>
            </w:r>
          </w:p>
        </w:tc>
      </w:tr>
      <w:tr w:rsidR="00B53024" w14:paraId="26978EE5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585B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7BA4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729 808,00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35A1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-5 910,56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3113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723 897,44</w:t>
            </w:r>
          </w:p>
        </w:tc>
      </w:tr>
    </w:tbl>
    <w:p w14:paraId="1F51B7F7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1D0B513B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Dodatkowo, w okresie prognozy WPF dokonano aktualizacji wydatków na obsługę długu, co przedstawiono w tabeli poniżej.</w:t>
      </w:r>
    </w:p>
    <w:p w14:paraId="5637F762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na obsługę długu w okresie prognozy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B53024" w14:paraId="77CDBF5D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A583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7529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7E9B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8F5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B53024" w14:paraId="0F7355C5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34CE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AB03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338 176,00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6BD1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+30 762,72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1F5E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368 938,72</w:t>
            </w:r>
          </w:p>
        </w:tc>
      </w:tr>
      <w:tr w:rsidR="00B53024" w14:paraId="3B440B3F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E188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06C4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299 025,00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5D8B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+13 311,29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711D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312 336,29</w:t>
            </w:r>
          </w:p>
        </w:tc>
      </w:tr>
      <w:tr w:rsidR="00B53024" w14:paraId="709F9D99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034D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73A5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262 875,00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55A6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+43 716,89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A93A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306 591,89</w:t>
            </w:r>
          </w:p>
        </w:tc>
      </w:tr>
      <w:tr w:rsidR="00B53024" w14:paraId="2BF73C10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DE34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5F06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228 225,00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409F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+26 942,24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00AB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255 167,24</w:t>
            </w:r>
          </w:p>
        </w:tc>
      </w:tr>
      <w:tr w:rsidR="00B53024" w14:paraId="2BDE46E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7ECC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38C9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184 868,00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6930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+28 500,63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3DA6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213 368,63</w:t>
            </w:r>
          </w:p>
        </w:tc>
      </w:tr>
      <w:tr w:rsidR="00B53024" w14:paraId="367BD981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21F0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7DEC1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127 343,00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8362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+551,09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26EA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127 894,09</w:t>
            </w:r>
          </w:p>
        </w:tc>
      </w:tr>
      <w:tr w:rsidR="00B53024" w14:paraId="5DDF779D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405B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C7E9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89 100,00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0844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+12 876,11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E639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101 976,11</w:t>
            </w:r>
          </w:p>
        </w:tc>
      </w:tr>
      <w:tr w:rsidR="00B53024" w14:paraId="2D419467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CA11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DE8F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53 100,00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0441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+9 618,33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1352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62 718,33</w:t>
            </w:r>
          </w:p>
        </w:tc>
      </w:tr>
      <w:tr w:rsidR="00B53024" w14:paraId="555E31B3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70EE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ABC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17 550,00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2C94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+5 910,56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0F25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23 460,56</w:t>
            </w:r>
          </w:p>
        </w:tc>
      </w:tr>
    </w:tbl>
    <w:p w14:paraId="19A5730D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7B3B7716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Wieloletniej Prognozie Finansowej Gminy Barwice:</w:t>
      </w:r>
    </w:p>
    <w:p w14:paraId="33547E21" w14:textId="77777777" w:rsidR="00B53024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Przychody ogółem w roku budżetowym nie uległy zmianie.</w:t>
      </w:r>
    </w:p>
    <w:p w14:paraId="4B778AA2" w14:textId="77777777" w:rsidR="00B53024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Rozchody ogółem w roku budżetowym nie uległy zmianie.</w:t>
      </w:r>
    </w:p>
    <w:p w14:paraId="440E501A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Od 2027 nie dokonywano zmian w zakresie planowanych przychodów.</w:t>
      </w:r>
    </w:p>
    <w:p w14:paraId="7423DAD2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Od 2027 nie dokonywano zmian w zakresie planowanych rozchodów.</w:t>
      </w:r>
    </w:p>
    <w:p w14:paraId="1E8EA147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60CDE55A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Spłatę zobowiązania planowanego do zaciągnięcia ujęto w latach 2027-2035. W tabeli poniżej spłatę ww. zobowiązań przedstawiono w kolumnie „Zobowiązanie planowane”.</w:t>
      </w:r>
    </w:p>
    <w:p w14:paraId="55E48F40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028"/>
        <w:gridCol w:w="2058"/>
        <w:gridCol w:w="2058"/>
        <w:gridCol w:w="2056"/>
      </w:tblGrid>
      <w:tr w:rsidR="00B53024" w14:paraId="3EB8F634" w14:textId="77777777">
        <w:trPr>
          <w:tblHeader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8771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EB72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Zobowiązanie historyczne [zł]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62E2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Zobowiązanie planowane [zł]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5BB8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Zobowiązania razem [zł]</w:t>
            </w:r>
          </w:p>
        </w:tc>
      </w:tr>
      <w:tr w:rsidR="00B53024" w14:paraId="24E902F2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9FB8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39E0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20B3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44DC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</w:tr>
      <w:tr w:rsidR="00B53024" w14:paraId="553D0458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2B91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lastRenderedPageBreak/>
              <w:t>2027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42DA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432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1177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903 332,00</w:t>
            </w:r>
          </w:p>
        </w:tc>
      </w:tr>
      <w:tr w:rsidR="00B53024" w14:paraId="661D9778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C89F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4EAE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529B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D297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836 685,00</w:t>
            </w:r>
          </w:p>
        </w:tc>
      </w:tr>
      <w:tr w:rsidR="00B53024" w14:paraId="2FB70FC5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8C87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01A7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4CDE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CF6D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B53024" w14:paraId="47FEC77B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4B4B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664A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0BBD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2875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B53024" w14:paraId="2F3E8532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7A05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ED73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40A6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F5FE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1 157 000,00</w:t>
            </w:r>
          </w:p>
        </w:tc>
      </w:tr>
      <w:tr w:rsidR="00B53024" w14:paraId="51EF6245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8A11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7AAB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E234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1B3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1 399 667,00</w:t>
            </w:r>
          </w:p>
        </w:tc>
      </w:tr>
      <w:tr w:rsidR="00B53024" w14:paraId="500E87ED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9DCB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6192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0970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E026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B53024" w14:paraId="790600D8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1618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6FDA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E2E2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CC45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B53024" w14:paraId="6BA93933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B4F3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B98E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4886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134F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</w:tr>
    </w:tbl>
    <w:p w14:paraId="56043B15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7B5B81A5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 Wieloletniej Prognozie Finansowej Gminy Barwice na lata 2026-2035 spowodowały modyfikacje w kształtowaniu się relacji z art. 243 ustawy o finansach publicznych. Szczegóły zaprezentowano w tabeli poniżej.</w:t>
      </w:r>
    </w:p>
    <w:p w14:paraId="0089A22A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655"/>
        <w:gridCol w:w="1309"/>
        <w:gridCol w:w="1309"/>
        <w:gridCol w:w="1309"/>
        <w:gridCol w:w="1309"/>
        <w:gridCol w:w="1309"/>
      </w:tblGrid>
      <w:tr w:rsidR="00B53024" w14:paraId="60A881E7" w14:textId="77777777">
        <w:trPr>
          <w:tblHeader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EC54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2179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Obsługa zadłużenia (fakt. i plan. po wyłączeniach)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0045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Maksymalna obsługa zadłużenia (wg planu po III kwartale)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4AEC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Zachowanie relacji z art. 243 (w oparciu o plan po III kwartale)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1718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Maksymalna obsługa zadłużenia (wg wykonania)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CA66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Zachowanie relacji z art. 243 (w oparciu o wykonanie)</w:t>
            </w:r>
          </w:p>
        </w:tc>
      </w:tr>
      <w:tr w:rsidR="00B53024" w14:paraId="70FE70BC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C558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926D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4761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7,63%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3956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7F8C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7,65%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F81A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7120F450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7C08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2BC9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2,66%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8A3F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7,16%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7621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C10D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7,18%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F9A5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1C86AFE4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992C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1B87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2,33%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F4A1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6,01%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AADE9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9956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6,03%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56EC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7AAEF794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68622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4AB0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2,11%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316B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4,91%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B7A7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7121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4,93%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E89F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3560BF44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CF3D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3110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1,95%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089B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3,57%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F5F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A056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3,60%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E7BD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48EBB4B4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6725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D36E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2,55%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FA70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3,59%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7044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C81C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3,61%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C2CB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4BB89D96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049F7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243C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2,77%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EE1D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3,03%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FBBA8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F550F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3,05%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F0B1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7C77AFAC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825A7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61C7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1,60%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EDDC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2,56%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E8E8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FBC13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2,56%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EDA41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08AAA831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B654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A12B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1,49%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CC4DA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8DF4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95DF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76E2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B53024" w14:paraId="380E0BA9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30C3C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928A0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1,35%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38E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BA0EE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987FB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2608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</w:tbl>
    <w:p w14:paraId="0DE22C76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38D06B15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30.09.2025 r. jak i w oparciu o dane z wykonania budżetu.</w:t>
      </w:r>
    </w:p>
    <w:p w14:paraId="2EA8D1A8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Zmiana Wieloletniej Prognozy Finansowej Gminy Barwice obejmuje również zmiany w załączniku nr 2, które szczegółowo opisano poniżej.</w:t>
      </w:r>
    </w:p>
    <w:p w14:paraId="1D7FE962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Dokonano zmian w zakresie następujących przedsięwzięć:</w:t>
      </w:r>
    </w:p>
    <w:p w14:paraId="4F2915CA" w14:textId="77777777" w:rsidR="00B53024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programów, projektów lub zadań związanych z programami realizowanymi z udziałem środków z UE:</w:t>
      </w:r>
    </w:p>
    <w:p w14:paraId="7635C145" w14:textId="77777777" w:rsidR="00B53024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Budowa sieci kanalizacji sanitarnej do m. Uradz – zmiana w przedsięwzięciu obejmuje m.in.:</w:t>
      </w:r>
    </w:p>
    <w:p w14:paraId="07445A92" w14:textId="77777777" w:rsidR="00B53024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zmniejszenie łącznych nakładów ogółem, limitu wydatków na realizację zadania w roku budżetowym oraz limitu zobowiązań o kwotę 184 505,64 zł.</w:t>
      </w:r>
    </w:p>
    <w:p w14:paraId="64535918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 załącznika przedsięwzięć usunięto następujące przedsięwzięcia:</w:t>
      </w:r>
    </w:p>
    <w:p w14:paraId="6C8DE78D" w14:textId="77777777" w:rsidR="00B53024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Budowa żłobka w Barwicach w ramach Programu rozwoju instytucji opieki nad dziećmi do lat 3 "MALUCH+ 2022-2029".</w:t>
      </w:r>
    </w:p>
    <w:p w14:paraId="1AF8F367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lastRenderedPageBreak/>
        <w:t>Zmiany wprowadzone w wykazie wieloletnich przedsięwzięć nie spowodowały zmiany horyzontu czasowego załącznika nr 2 WPF.</w:t>
      </w:r>
    </w:p>
    <w:p w14:paraId="5B9E6E8A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wprowadzone w wykazie wieloletnich przedsięwzięć wpłynęły na zmianę pozycji 10.1.2 WPF, co przedstawiono w tabeli poniżej.</w:t>
      </w:r>
    </w:p>
    <w:p w14:paraId="68037FD8" w14:textId="77777777" w:rsidR="00B53024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B53024" w14:paraId="2354F930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C67E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AA1A5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80E8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5E36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B53024" w14:paraId="7581021E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696D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13CE9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12 527 677,84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A86F8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-1 751 457,90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8A724" w14:textId="77777777" w:rsidR="00B53024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10 776 219,94</w:t>
            </w:r>
          </w:p>
        </w:tc>
      </w:tr>
    </w:tbl>
    <w:p w14:paraId="713B2445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04EB5026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526E76A1" w14:textId="77777777" w:rsidR="00B53024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Pełen zakres zmian obrazują załączniki nr 1 i 2 do niniejszej uchwały.</w:t>
      </w:r>
    </w:p>
    <w:p w14:paraId="72C9DA7F" w14:textId="77777777" w:rsidR="00B53024" w:rsidRDefault="00B53024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4D03C70" w14:textId="77777777" w:rsidR="00B53024" w:rsidRDefault="00B53024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03AB69BC" w14:textId="77777777" w:rsidR="00B53024" w:rsidRDefault="00B53024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B53024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spacing w:beforeAutospacing="0" w:after="0" w:afterAutospacing="0" w:line="240" w:lineRule="auto"/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spacing w:beforeAutospacing="0" w:after="0" w:afterAutospacing="0" w:line="240" w:lineRule="auto"/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spacing w:beforeAutospacing="0" w:after="0" w:afterAutospacing="0" w:line="240" w:lineRule="auto"/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spacing w:beforeAutospacing="0" w:after="0" w:afterAutospacing="0" w:line="240" w:lineRule="auto"/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spacing w:beforeAutospacing="0" w:after="0" w:afterAutospacing="0" w:line="240" w:lineRule="auto"/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spacing w:beforeAutospacing="0" w:after="0" w:afterAutospacing="0" w:line="240" w:lineRule="auto"/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spacing w:beforeAutospacing="0" w:after="0" w:afterAutospacing="0" w:line="240" w:lineRule="auto"/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spacing w:beforeAutospacing="0" w:after="0" w:afterAutospacing="0" w:line="240" w:lineRule="auto"/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spacing w:beforeAutospacing="0" w:after="0" w:afterAutospacing="0" w:line="240" w:lineRule="auto"/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spacing w:beforeAutospacing="0" w:after="0" w:afterAutospacing="0" w:line="240" w:lineRule="auto"/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spacing w:beforeAutospacing="0" w:after="0" w:afterAutospacing="0" w:line="240" w:lineRule="auto"/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spacing w:beforeAutospacing="0" w:after="0" w:afterAutospacing="0" w:line="240" w:lineRule="auto"/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spacing w:beforeAutospacing="0" w:after="0" w:afterAutospacing="0" w:line="240" w:lineRule="auto"/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spacing w:beforeAutospacing="0" w:after="0" w:afterAutospacing="0" w:line="240" w:lineRule="auto"/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spacing w:beforeAutospacing="0" w:after="0" w:afterAutospacing="0" w:line="240" w:lineRule="auto"/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211812686">
    <w:abstractNumId w:val="0"/>
  </w:num>
  <w:num w:numId="2" w16cid:durableId="1035543844">
    <w:abstractNumId w:val="1"/>
  </w:num>
  <w:num w:numId="3" w16cid:durableId="1570729456">
    <w:abstractNumId w:val="2"/>
  </w:num>
  <w:num w:numId="4" w16cid:durableId="3274871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16BE1"/>
    <w:rsid w:val="00A77B3E"/>
    <w:rsid w:val="00B53024"/>
    <w:rsid w:val="00CA2A55"/>
    <w:rsid w:val="00F7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4596B"/>
  <w15:docId w15:val="{D25E0142-0414-4711-B0ED-5D653F6D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Kartarzyna%20Git\AppData\Local\Temp\Legislator\2DD2CEAA-94E2-4BC5-9BA5-421C8151AE48\Zalacznik2.pdf" TargetMode="External"/><Relationship Id="rId5" Type="http://schemas.openxmlformats.org/officeDocument/2006/relationships/hyperlink" Target="file:///C:\Users\Kartarzyna%20Git\AppData\Local\Temp\Legislator\2DD2CEAA-94E2-4BC5-9BA5-421C8151AE48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1291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XXXVI/238/2026 z dnia 30 września 2026 r.</dc:title>
  <dc:subject>w sprawie uchwalenia zmiany Wieloletniej Prognozy Finansowej Gminy Barwice na lata 2026-2035</dc:subject>
  <dc:creator>Lorkiewicz_J</dc:creator>
  <cp:lastModifiedBy>Justyna Lorkiewicz</cp:lastModifiedBy>
  <cp:revision>2</cp:revision>
  <dcterms:created xsi:type="dcterms:W3CDTF">2026-10-01T06:22:00Z</dcterms:created>
  <dcterms:modified xsi:type="dcterms:W3CDTF">2026-10-01T06:22:00Z</dcterms:modified>
  <cp:category>Akt prawny</cp:category>
</cp:coreProperties>
</file>