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C88D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XXXIII/214/2026</w:t>
      </w:r>
      <w:r>
        <w:rPr>
          <w:b/>
          <w:caps/>
        </w:rPr>
        <w:br/>
        <w:t>Rady Miejskiej w Barwicach</w:t>
      </w:r>
    </w:p>
    <w:p w14:paraId="67CA696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maja 2026 r.</w:t>
      </w:r>
    </w:p>
    <w:p w14:paraId="5B39C72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529A8C0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2026 r. poz. 662)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2026 poz. 399) oraz § 3 ust. 1 Uchwały Nr XXIX/212/13 Rady Miejskiej w Barwicach z dnia 23 maja 2013 r. w sprawie zasad gospodarowania mieniem Gminy (Dz. Urz. Woj. Zachodniopomorskiego z 2013 r. poz. 2422) Rada Miejska w Barwicach uchwala, co następuje:</w:t>
      </w:r>
    </w:p>
    <w:p w14:paraId="0DFB708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stanowiącej własność Gminy Barwice - nieruchomość zabudowana budynkiem nr 20 - lokal mieszkalny nr 3 położony w miejscowości Barwice przy ul. Wojska Polskiego 20, na działce 189 o pow. 0,0384 ha, obręb ewidencyjny Barwice 03 – udział 215/1000, dla której Sąd Rejonowy w Szczecinku V Wydział Ksiąg Wieczystych prowadzi księgę wieczystą numer KO1I/00017939/5.</w:t>
      </w:r>
    </w:p>
    <w:p w14:paraId="02184EB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 Burmistrzowi Barwic.</w:t>
      </w:r>
    </w:p>
    <w:p w14:paraId="7990CFB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437DAEBF" w14:textId="77777777" w:rsidR="00A77B3E" w:rsidRDefault="00A77B3E">
      <w:pPr>
        <w:keepNext/>
        <w:keepLines/>
        <w:spacing w:before="120" w:after="120"/>
        <w:ind w:firstLine="340"/>
      </w:pPr>
    </w:p>
    <w:p w14:paraId="47A5AB5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520D6" w14:paraId="269CAD3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AA9C78" w14:textId="77777777" w:rsidR="008520D6" w:rsidRDefault="008520D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417119" w14:textId="77777777" w:rsidR="008520D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63ACF3DC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44C4B"/>
    <w:rsid w:val="00802B80"/>
    <w:rsid w:val="008520D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651A49"/>
  <w15:docId w15:val="{7348A5F0-5A93-4D83-81F2-B8CDBC793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XXXIII/214/2026 z dnia 28 maja 2026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2026-05-29T08:26:00Z</dcterms:created>
  <dcterms:modified xsi:type="dcterms:W3CDTF">2026-05-29T08:26:00Z</dcterms:modified>
  <cp:category>Akt prawny</cp:category>
</cp:coreProperties>
</file>