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A0DA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XXXIII/212/2026</w:t>
      </w:r>
      <w:r>
        <w:rPr>
          <w:b/>
          <w:caps/>
        </w:rPr>
        <w:br/>
        <w:t>Rady Miejskiej w Barwicach</w:t>
      </w:r>
    </w:p>
    <w:p w14:paraId="42EAACC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3FF2A0A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5A0A5BD8" w14:textId="77777777" w:rsidR="00A77B3E" w:rsidRDefault="00000000">
      <w:pPr>
        <w:keepLines/>
        <w:spacing w:before="120" w:after="120"/>
        <w:ind w:firstLine="227"/>
      </w:pPr>
      <w:r>
        <w:t>Na podstawie art. 18 ust. 2 pkt. 9 lit. a 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ust.1 oraz art. 37 ust. 4 ustawy z dnia 21 sierpnia 1997 r. o gospodarce nieruchomościami (</w:t>
      </w:r>
      <w:proofErr w:type="spellStart"/>
      <w:r>
        <w:t>t.j</w:t>
      </w:r>
      <w:proofErr w:type="spellEnd"/>
      <w:r>
        <w:t>. Dz. U. z 2026 r. poz. 399) Rada Miejska w Barwicach uchwala co następuje:</w:t>
      </w:r>
    </w:p>
    <w:p w14:paraId="5A724F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zawarcie kolejnej umowy dzierżawy w drodze bezprzetargowej na okres kolejnych 10 lat z dotychczasowym dzierżawcą, której przedmiotem jest część działki oznaczona w ewidencji gruntów jako działka nr 167/3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obręb ewidencyjny 03 Barwice, powierzchnia całej działki 0,0434 ha dla której Sąd Rejonowy w Szczecinku V Wydział Ksiąg Wieczystych prowadzi księgę wieczystą KO1I/00021976/7.</w:t>
      </w:r>
    </w:p>
    <w:p w14:paraId="6E5725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204CB55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D48DB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A4D5C2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265AD" w14:paraId="72EFD91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61B1D" w14:textId="77777777" w:rsidR="00F265AD" w:rsidRDefault="00F265A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B0F89" w14:textId="77777777" w:rsidR="00F265A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668AE95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02B80"/>
    <w:rsid w:val="00A77B3E"/>
    <w:rsid w:val="00B44883"/>
    <w:rsid w:val="00CA2A55"/>
    <w:rsid w:val="00F2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5121B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XXXIII/212/2026 z dnia 28 maja 2026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2026-05-29T08:02:00Z</dcterms:created>
  <dcterms:modified xsi:type="dcterms:W3CDTF">2026-05-29T08:02:00Z</dcterms:modified>
  <cp:category>Akt prawny</cp:category>
</cp:coreProperties>
</file>