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6478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XXXIII/209/2026</w:t>
      </w:r>
      <w:r>
        <w:rPr>
          <w:b/>
          <w:caps/>
        </w:rPr>
        <w:br/>
        <w:t>Rady Miejskiej w Barwicach</w:t>
      </w:r>
    </w:p>
    <w:p w14:paraId="6E53D9F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maja 2026 r.</w:t>
      </w:r>
    </w:p>
    <w:p w14:paraId="21DEC316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zmiany Wieloletniej Prognozy Finansowej Gminy Barwice na lata 2026-2035</w:t>
      </w:r>
    </w:p>
    <w:p w14:paraId="79EEE659" w14:textId="77777777" w:rsidR="00A77B3E" w:rsidRDefault="00000000">
      <w:pPr>
        <w:keepLines/>
        <w:spacing w:before="120" w:after="120"/>
        <w:ind w:firstLine="227"/>
      </w:pPr>
      <w:r>
        <w:t>Na podstawie art. 230 ust. 6 ustawy z dnia 27 sierpnia 2009 roku o finansach publicznych (</w:t>
      </w:r>
      <w:proofErr w:type="spellStart"/>
      <w:r>
        <w:t>t.j</w:t>
      </w:r>
      <w:proofErr w:type="spellEnd"/>
      <w:r>
        <w:t>. Dz. U. 2025 r. poz. 1483 z </w:t>
      </w:r>
      <w:proofErr w:type="spellStart"/>
      <w:r>
        <w:t>późn</w:t>
      </w:r>
      <w:proofErr w:type="spellEnd"/>
      <w:r>
        <w:t>. zm.) Rada Miejska w Barwicach uchwala co następuje:</w:t>
      </w:r>
    </w:p>
    <w:p w14:paraId="5D07EFD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XXVIII/164/2025 Rady Miejskiej w Barwicach z dnia 19 grudnia 2025 r. w sprawie uchwalenia zmiany Wieloletniej Prognozy Finansowej Gminy Barwice na lata 2026-2035 z </w:t>
      </w:r>
      <w:proofErr w:type="spellStart"/>
      <w:r>
        <w:t>późn</w:t>
      </w:r>
      <w:proofErr w:type="spellEnd"/>
      <w:r>
        <w:t>. zmianami wprowadza się następujące zmiany:</w:t>
      </w:r>
    </w:p>
    <w:p w14:paraId="14893A11" w14:textId="77777777" w:rsidR="00A77B3E" w:rsidRDefault="00000000">
      <w:pPr>
        <w:spacing w:before="120" w:after="120"/>
        <w:ind w:left="340" w:firstLine="340"/>
      </w:pPr>
      <w:r>
        <w:t>1) załącznik nr 1 – Wieloletnia Prognoza Finansowa Gminy Barwice na lata 2026-2035 otrzymuje brzmienie załącznika nr 1 do uchwały;</w:t>
      </w:r>
    </w:p>
    <w:p w14:paraId="6F8556AB" w14:textId="77777777" w:rsidR="00A77B3E" w:rsidRDefault="00000000">
      <w:pPr>
        <w:spacing w:before="120" w:after="120"/>
        <w:ind w:left="340" w:firstLine="340"/>
      </w:pPr>
      <w:r>
        <w:t>2) w wykazie wieloletnich przedsięwzięć Gminy Barwice, stanowiącym załącznik nr 2 do zmienianej uchwały – określone w załączniku nr 2 do niniejszej uchwały;</w:t>
      </w:r>
    </w:p>
    <w:p w14:paraId="695ADCAC" w14:textId="77777777" w:rsidR="00A77B3E" w:rsidRDefault="00000000">
      <w:pPr>
        <w:spacing w:before="120" w:after="120"/>
        <w:ind w:left="340" w:firstLine="340"/>
      </w:pPr>
      <w:r>
        <w:t>3) objaśnienia przyjętych wartości do Wieloletniej Prognozy Finansowej Gminy Barwice do niniejszej uchwały.</w:t>
      </w:r>
    </w:p>
    <w:p w14:paraId="5DD0AAB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29332952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2AC4F0A7" w14:textId="77777777" w:rsidR="00A77B3E" w:rsidRDefault="00A77B3E">
      <w:pPr>
        <w:keepNext/>
        <w:keepLines/>
        <w:spacing w:before="120" w:after="120"/>
        <w:ind w:firstLine="340"/>
      </w:pPr>
    </w:p>
    <w:p w14:paraId="6051038B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92FD2" w14:paraId="053BEB1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01D346" w14:textId="77777777" w:rsidR="00192FD2" w:rsidRDefault="00192FD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12EDDD" w14:textId="77777777" w:rsidR="00192FD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66B58BFE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DC87E8A" w14:textId="74C97358" w:rsidR="00A77B3E" w:rsidRDefault="00000000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 nr  1 do uchwały  nr  XXXIII/209/2026</w:t>
      </w:r>
      <w:r>
        <w:br/>
        <w:t>Rady Miejskiej w Barwicach</w:t>
      </w:r>
      <w:r>
        <w:br/>
        <w:t>z dnia 28 maja 2026 r.</w:t>
      </w:r>
      <w:r>
        <w:br/>
      </w:r>
      <w:hyperlink r:id="rId5" w:history="1">
        <w:r w:rsidR="00A77B3E">
          <w:rPr>
            <w:rStyle w:val="Hipercze"/>
            <w:color w:val="auto"/>
            <w:u w:val="none"/>
          </w:rPr>
          <w:t>Zalacznik1.pdf</w:t>
        </w:r>
      </w:hyperlink>
    </w:p>
    <w:p w14:paraId="6FAB6A38" w14:textId="1224FEBF" w:rsidR="00A77B3E" w:rsidRDefault="00000000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 nr  2 do uchwały  nr  XXXIII/209/2026</w:t>
      </w:r>
      <w:r>
        <w:br/>
        <w:t>Rady Miejskiej w Barwicach</w:t>
      </w:r>
      <w:r>
        <w:br/>
        <w:t>z dnia 28 maja 2026 r.</w:t>
      </w:r>
      <w:r>
        <w:br/>
      </w:r>
      <w:hyperlink r:id="rId6" w:history="1">
        <w:r w:rsidR="00A77B3E">
          <w:rPr>
            <w:rStyle w:val="Hipercze"/>
            <w:color w:val="auto"/>
            <w:u w:val="none"/>
          </w:rPr>
          <w:t>Zalacznik2.pdf</w:t>
        </w:r>
      </w:hyperlink>
    </w:p>
    <w:p w14:paraId="1E16CA60" w14:textId="77777777" w:rsidR="00192FD2" w:rsidRDefault="00192FD2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B5E8B3B" w14:textId="77777777" w:rsidR="00192FD2" w:rsidRDefault="00192FD2" w:rsidP="007F63C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251045C7" w14:textId="77777777" w:rsidR="00192FD2" w:rsidRDefault="00192FD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7C51BA22" w14:textId="77777777" w:rsidR="00192FD2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Objaśnienia przyjętych wartości do Wieloletniej Prognozy Finansowej Gminy Barwice na lata 2026-2035</w:t>
      </w:r>
    </w:p>
    <w:p w14:paraId="665E9832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Zgodnie ze zmianami w budżecie na dzień 28 maja 2026 r., dokonano następujących zmian w Wieloletniej Prognozie Finansowej Gminy Barwice:</w:t>
      </w:r>
    </w:p>
    <w:p w14:paraId="56019B17" w14:textId="77777777" w:rsidR="00192FD2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Dochody ogółem zwiększono o 1 967 653,72 zł, z czego dochody bieżące zwiększono o 1 161 653,72 zł, a dochody majątkowe zwiększono o 806 000,00 zł.</w:t>
      </w:r>
    </w:p>
    <w:p w14:paraId="16A7B4E6" w14:textId="77777777" w:rsidR="00192FD2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Wydatki ogółem zwiększono o 2 816 579,60 zł, z czego wydatki bieżące zwiększono o 1 821 823,41 zł, a wydatki majątkowe zwiększono o 994 756,19 zł.</w:t>
      </w:r>
    </w:p>
    <w:p w14:paraId="3AD3927A" w14:textId="77777777" w:rsidR="00192FD2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Wynik budżetu jest deficytowy i po zmianach wynosi -5 382 752,67 zł.</w:t>
      </w:r>
    </w:p>
    <w:p w14:paraId="61A731A1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Szczegółowe informacje na temat zmian w zakresie dochodów, wydatków i wyniku budżetu w roku budżetowym przedstawiono w tabeli poniżej.</w:t>
      </w:r>
    </w:p>
    <w:p w14:paraId="6627C920" w14:textId="77777777" w:rsidR="00192FD2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Zmiany w dochodach i wydatkach w 2026 roku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1800"/>
        <w:gridCol w:w="1800"/>
        <w:gridCol w:w="1800"/>
        <w:gridCol w:w="1800"/>
      </w:tblGrid>
      <w:tr w:rsidR="00192FD2" w14:paraId="3F3F739A" w14:textId="77777777">
        <w:trPr>
          <w:tblHeader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BB016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Wyszczególnienie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EFF35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1451B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50722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192FD2" w14:paraId="6266928B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2A30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Dochody ogółem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5135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69 147 380,31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3DB9C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+1 967 653,72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C99D6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71 115 034,03</w:t>
            </w:r>
          </w:p>
        </w:tc>
      </w:tr>
      <w:tr w:rsidR="00192FD2" w14:paraId="3C828110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0DA4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Dochody bieżące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2B254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55 911 771,28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026DE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+1 161 653,72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FF123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57 073 425,00</w:t>
            </w:r>
          </w:p>
        </w:tc>
      </w:tr>
      <w:tr w:rsidR="00192FD2" w14:paraId="0A6B0DF7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E293D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color w:val="000000"/>
                <w:szCs w:val="20"/>
                <w:shd w:val="clear" w:color="auto" w:fill="FFFFFF"/>
                <w:lang w:val="x-none" w:eastAsia="en-US" w:bidi="ar-SA"/>
              </w:rPr>
              <w:t>Dotacje bieżące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0EE9D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8 707 494,28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ED4C6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+1 038 955,16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5A4AB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9 746 449,44</w:t>
            </w:r>
          </w:p>
        </w:tc>
      </w:tr>
      <w:tr w:rsidR="00192FD2" w14:paraId="13EC89C0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3680A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color w:val="000000"/>
                <w:szCs w:val="20"/>
                <w:shd w:val="clear" w:color="auto" w:fill="FFFFFF"/>
                <w:lang w:val="x-none" w:eastAsia="en-US" w:bidi="ar-SA"/>
              </w:rPr>
              <w:t>Pozostałe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B2106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16 948 227,00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EB16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+122 698,56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8AE8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17 070 925,56</w:t>
            </w:r>
          </w:p>
        </w:tc>
      </w:tr>
      <w:tr w:rsidR="00192FD2" w14:paraId="4EAB0941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D456A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Dochody majątkowe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CFC54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13 235 609,03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8F011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+806 000,00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E95F1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14 041 609,03</w:t>
            </w:r>
          </w:p>
        </w:tc>
      </w:tr>
      <w:tr w:rsidR="00192FD2" w14:paraId="2EF22E7C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EE020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Wydatki ogółem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8F97B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73 681 207,10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78C9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+2 816 579,60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983CE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76 497 786,70</w:t>
            </w:r>
          </w:p>
        </w:tc>
      </w:tr>
      <w:tr w:rsidR="00192FD2" w14:paraId="11D2FC9D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E0AD0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Wydatki bieżące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19725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55 242 430,48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0282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+1 821 823,41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1457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57 064 253,89</w:t>
            </w:r>
          </w:p>
        </w:tc>
      </w:tr>
      <w:tr w:rsidR="00192FD2" w14:paraId="4A250171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1DBCA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Wynagrodzenia i pochodne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9BC89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22 381 915,67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299AD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+430 918,72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E6DBF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22 812 834,39</w:t>
            </w:r>
          </w:p>
        </w:tc>
      </w:tr>
      <w:tr w:rsidR="00192FD2" w14:paraId="7F01E1A7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529B7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color w:val="000000"/>
                <w:szCs w:val="20"/>
                <w:shd w:val="clear" w:color="auto" w:fill="FFFFFF"/>
                <w:lang w:val="x-none" w:eastAsia="en-US" w:bidi="ar-SA"/>
              </w:rPr>
              <w:t>Pozostałe wydatki bieżące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E06E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32 262 950,81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BB951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+1 390 904,69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11366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33 653 855,50</w:t>
            </w:r>
          </w:p>
        </w:tc>
      </w:tr>
      <w:tr w:rsidR="00192FD2" w14:paraId="74F34173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ACD51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Wydatki majątkowe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34377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18 438 776,62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FF80E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+994 756,19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C2A65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19 433 532,81</w:t>
            </w:r>
          </w:p>
        </w:tc>
      </w:tr>
      <w:tr w:rsidR="00192FD2" w14:paraId="57C93A77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2D409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Wynik budżetu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D2F77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-4 533 826,79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2CC0A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-848 925,88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A4D03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-5 382 752,67</w:t>
            </w:r>
          </w:p>
        </w:tc>
      </w:tr>
    </w:tbl>
    <w:p w14:paraId="5DD4C0EB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45F9E178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 okresie prognozy WPF dokonano zmian w zakresie planowanych dochodów bieżących. Zmiany przedstawiono w tabeli poniżej.</w:t>
      </w:r>
    </w:p>
    <w:p w14:paraId="1E4B9A3A" w14:textId="77777777" w:rsidR="00192FD2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Zmiany w dochodach bieżących w okresie prognozy WPF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47"/>
        <w:gridCol w:w="2118"/>
        <w:gridCol w:w="2118"/>
        <w:gridCol w:w="2117"/>
      </w:tblGrid>
      <w:tr w:rsidR="00192FD2" w14:paraId="08D9380A" w14:textId="77777777">
        <w:trPr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8708C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27DA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B64DB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902B1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192FD2" w14:paraId="3D65E027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79527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1B184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57 345 832,00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3DF34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+5 000,00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6CE51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57 350 832,00</w:t>
            </w:r>
          </w:p>
        </w:tc>
      </w:tr>
    </w:tbl>
    <w:p w14:paraId="08551322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42CBC675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 okresie prognozy WPF dokonano zmian w zakresie planowanych wydatków majątkowych. Zmiany przedstawiono w tabeli poniżej.</w:t>
      </w:r>
    </w:p>
    <w:p w14:paraId="1E895ECE" w14:textId="77777777" w:rsidR="00192FD2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Zmiany w wydatkach majątkowych w okresie prognozy WPF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47"/>
        <w:gridCol w:w="2118"/>
        <w:gridCol w:w="2118"/>
        <w:gridCol w:w="2117"/>
      </w:tblGrid>
      <w:tr w:rsidR="00192FD2" w14:paraId="0267474B" w14:textId="77777777">
        <w:trPr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6D8AF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36EDD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10475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4ACD5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192FD2" w14:paraId="1DB49DC8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6A88A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C9AFE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3 647 521,93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2B91E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+5 000,00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4B29A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3 652 521,93</w:t>
            </w:r>
          </w:p>
        </w:tc>
      </w:tr>
    </w:tbl>
    <w:p w14:paraId="3515C159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lastRenderedPageBreak/>
        <w:t>Źródło: opracowanie własne.</w:t>
      </w:r>
    </w:p>
    <w:p w14:paraId="1EA735F2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Wieloletniej Prognozie Finansowej Gminy Barwice:</w:t>
      </w:r>
    </w:p>
    <w:p w14:paraId="0FCD4AC0" w14:textId="77777777" w:rsidR="00192FD2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Przychody ogółem w roku budżetowym zwiększono o 848 925,88 zł i po zmianach wynoszą 6 266 084,67 zł.</w:t>
      </w:r>
    </w:p>
    <w:p w14:paraId="51B96650" w14:textId="77777777" w:rsidR="00192FD2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Rozchody ogółem w roku budżetowym nie uległy zmianie.</w:t>
      </w:r>
    </w:p>
    <w:p w14:paraId="5096FE9A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Szczegółowe informacje na temat zmian w zakresie przychodów i rozchodów w roku budżetowym przedstawiono w tabeli poniżej.</w:t>
      </w:r>
    </w:p>
    <w:p w14:paraId="4BB2373B" w14:textId="77777777" w:rsidR="00192FD2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Zmiany w przychodach i rozchodach na 2026 rok.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1800"/>
        <w:gridCol w:w="1800"/>
        <w:gridCol w:w="1800"/>
        <w:gridCol w:w="1800"/>
      </w:tblGrid>
      <w:tr w:rsidR="00192FD2" w14:paraId="0D5B87C9" w14:textId="77777777">
        <w:trPr>
          <w:tblHeader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DB1BF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Wyszczególnienie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8A1A9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EAFDB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D27C6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192FD2" w14:paraId="09745190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4EDFC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Przychody budżetu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A865C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5 417 158,79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13889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+848 925,88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2B3B1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6 266 084,67</w:t>
            </w:r>
          </w:p>
        </w:tc>
      </w:tr>
      <w:tr w:rsidR="00192FD2" w14:paraId="654A9C5A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9C6FF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color w:val="000000"/>
                <w:szCs w:val="20"/>
                <w:shd w:val="clear" w:color="auto" w:fill="FFFFFF"/>
                <w:lang w:val="x-none" w:eastAsia="en-US" w:bidi="ar-SA"/>
              </w:rPr>
              <w:t>Wolne środki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3FBA1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653 300,00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924E7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+848 925,88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9B4D2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1 502 225,88</w:t>
            </w:r>
          </w:p>
        </w:tc>
      </w:tr>
    </w:tbl>
    <w:p w14:paraId="7A5D0E25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5EF49F65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Od 2027 nie dokonywano zmian w zakresie planowanych przychodów.</w:t>
      </w:r>
    </w:p>
    <w:p w14:paraId="6993CC91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Od 2027 nie dokonywano zmian w zakresie planowanych rozchodów.</w:t>
      </w:r>
    </w:p>
    <w:p w14:paraId="661BBF93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 zakresie zawartych umów, rozchody Gminy Barwice zaplanowano zgodnie z harmonogramami. W tabeli poniżej spłatę ww. zobowiązań przedstawiono w kolumnie „Zobowiązanie historyczne”.</w:t>
      </w:r>
    </w:p>
    <w:p w14:paraId="51914FA1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Spłatę zobowiązania planowanego do zaciągnięcia ujęto w latach 2027-2035. W tabeli poniżej spłatę ww. zobowiązań przedstawiono w kolumnie „Zobowiązanie planowane”.</w:t>
      </w:r>
    </w:p>
    <w:p w14:paraId="4EA8BC8A" w14:textId="77777777" w:rsidR="00192FD2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Spłata zaciągniętych i planowanych zobowiązań Gminy Barwice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1028"/>
        <w:gridCol w:w="2058"/>
        <w:gridCol w:w="2058"/>
        <w:gridCol w:w="2056"/>
      </w:tblGrid>
      <w:tr w:rsidR="00192FD2" w14:paraId="1AFD29C8" w14:textId="77777777">
        <w:trPr>
          <w:tblHeader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5C6EF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9FA3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Zobowiązanie historyczne [zł]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1D76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Zobowiązanie planowane [zł]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1642F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Zobowiązania razem [zł]</w:t>
            </w:r>
          </w:p>
        </w:tc>
      </w:tr>
      <w:tr w:rsidR="00192FD2" w14:paraId="3639FC60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894CD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170AF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CDF49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EDB25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</w:tr>
      <w:tr w:rsidR="00192FD2" w14:paraId="7C7C358E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3B1DC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B2D9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116E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89154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903 332,00</w:t>
            </w:r>
          </w:p>
        </w:tc>
      </w:tr>
      <w:tr w:rsidR="00192FD2" w14:paraId="3A405FF9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F741C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622D4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816 685,00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2CB86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6A97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836 685,00</w:t>
            </w:r>
          </w:p>
        </w:tc>
      </w:tr>
      <w:tr w:rsidR="00192FD2" w14:paraId="0C4E81E6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EA534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49C40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750 000,00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B0D5A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C282F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770 000,00</w:t>
            </w:r>
          </w:p>
        </w:tc>
      </w:tr>
      <w:tr w:rsidR="00192FD2" w14:paraId="0178A6D0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9FA8B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D83DB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750 000,00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84ED7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53F41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770 000,00</w:t>
            </w:r>
          </w:p>
        </w:tc>
      </w:tr>
      <w:tr w:rsidR="00192FD2" w14:paraId="74FE908E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43954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2031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81519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1 137 000,00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E2D4B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C8A33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1 157 000,00</w:t>
            </w:r>
          </w:p>
        </w:tc>
      </w:tr>
      <w:tr w:rsidR="00192FD2" w14:paraId="5FC29EF8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C831B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E95D3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1 379 667,00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69285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FF47A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1 399 667,00</w:t>
            </w:r>
          </w:p>
        </w:tc>
      </w:tr>
      <w:tr w:rsidR="00192FD2" w14:paraId="3E26D4E5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98834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2033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B1340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E485A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800 000,00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A972F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800 000,00</w:t>
            </w:r>
          </w:p>
        </w:tc>
      </w:tr>
      <w:tr w:rsidR="00192FD2" w14:paraId="55571055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22177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2034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ACEFD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38406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800 000,00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C91EE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800 000,00</w:t>
            </w:r>
          </w:p>
        </w:tc>
      </w:tr>
      <w:tr w:rsidR="00192FD2" w14:paraId="06DC2676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A618D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2035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D1B70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280E3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780 000,00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75F35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780 000,00</w:t>
            </w:r>
          </w:p>
        </w:tc>
      </w:tr>
    </w:tbl>
    <w:p w14:paraId="46BC24CE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3ADCC58F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Zmiany w Wieloletniej Prognozie Finansowej Gminy Barwice na lata 2026-2035 spowodowały modyfikacje w kształtowaniu się relacji z art. 243 ustawy o finansach publicznych. Szczegóły zaprezentowano w tabeli poniżej.</w:t>
      </w:r>
    </w:p>
    <w:p w14:paraId="4293C6CE" w14:textId="77777777" w:rsidR="00192FD2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Kształtowanie się relacji z art. 243 ust. 1 ustawy o finansach publicznych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655"/>
        <w:gridCol w:w="1309"/>
        <w:gridCol w:w="1309"/>
        <w:gridCol w:w="1309"/>
        <w:gridCol w:w="1309"/>
        <w:gridCol w:w="1309"/>
      </w:tblGrid>
      <w:tr w:rsidR="00192FD2" w14:paraId="50452E6E" w14:textId="77777777">
        <w:trPr>
          <w:tblHeader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EAE1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99FB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 xml:space="preserve">Obsługa zadłużenia (fakt. i plan. po </w:t>
            </w:r>
            <w:proofErr w:type="spellStart"/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wyłączeniach</w:t>
            </w:r>
            <w:proofErr w:type="spellEnd"/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)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116E2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Maksymalna obsługa zadłużenia (wg planu po III kwartale)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7A90E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Zachowanie relacji z art. 243 (w oparciu o plan po III kwartale)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D4677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Maksymalna obsługa zadłużenia (wg wykonania)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52EE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Zachowanie relacji z art. 243 (w oparciu o wykonanie)</w:t>
            </w:r>
          </w:p>
        </w:tc>
      </w:tr>
      <w:tr w:rsidR="00192FD2" w14:paraId="31EB1CE8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31BFE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58437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3,16%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DFA82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7,63%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046D6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A5203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7,63%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927DC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192FD2" w14:paraId="5BFBDE69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0BF0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D6C13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2,60%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7EA65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7,26%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80832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F4865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7,27%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9298C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192FD2" w14:paraId="1C073659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05A67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90FB7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2,30%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CA157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6,16%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679D9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D3B65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6,17%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C690F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192FD2" w14:paraId="42228FEC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CBC43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F3E90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2,02%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00D8D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5,05%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4C227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9033F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5,06%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E60C1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192FD2" w14:paraId="51FD7F07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83956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C6199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1,90%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8FDC1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3,72%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BA06B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5F167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3,72%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ACFAB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192FD2" w14:paraId="00991599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F1A52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lastRenderedPageBreak/>
              <w:t>2031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1690C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2,49%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7C01C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3,74%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1C856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F8719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3,74%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EADA9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192FD2" w14:paraId="300EF8CF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E42F6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B8991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2,77%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97FD6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3,17%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A3C84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04C86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3,18%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48FD7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192FD2" w14:paraId="28C6D5B7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BDE89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2033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5169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1,57%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0A37A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2,70%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C6C7D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AEA33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2,70%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78ADC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192FD2" w14:paraId="7CFA4F05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1A55E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2034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209D3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1,47%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FB519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2,90%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36AEE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A0734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2,90%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30819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192FD2" w14:paraId="7B3D7731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65C8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2035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8A359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1,34%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F7448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2,84%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CDE06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E6D49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2,84%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372F1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</w:tbl>
    <w:p w14:paraId="0012855F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619336A5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Dane w tabeli powyżej wskazują, że w całym okresie prognozy Gmina Barwice spełnia relację, o której mowa w art. 243 ust. 1 ustawy o finansach publicznych. Spełnienie dotyczy zarówno relacji obliczonej na podstawie planu na dzień 30.09.2025 r. jak i w oparciu o dane z wykonania budżetu.</w:t>
      </w:r>
    </w:p>
    <w:p w14:paraId="67A44D6E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Zmiana Wieloletniej Prognozy Finansowej Gminy Barwice obejmuje również zmiany w załączniku nr 2, które szczegółowo opisano poniżej.</w:t>
      </w:r>
    </w:p>
    <w:p w14:paraId="253B553F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Do załącznika przedsięwzięć dodano następujące przedsięwzięcia:</w:t>
      </w:r>
    </w:p>
    <w:p w14:paraId="70421505" w14:textId="77777777" w:rsidR="00192FD2" w:rsidRDefault="00000000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Modernizacja sali gimnastycznej przy ul. Kościuszki w Barwicach – zadanie majątkowe, które ma być realizowane w latach 2026-2027. Łączne nakłady planowane na realizację zadania wynoszą 113 020,19 zł, w tym w 2026 r. ‒ 108 020,19 zł. Limit zobowiązań dla zadania wynosi 113 020,19 zł. Jednostką realizującą jest URZĄD MIEJSKI W BARWICACH.</w:t>
      </w:r>
    </w:p>
    <w:p w14:paraId="322D576E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Dokonano zmian w zakresie następujących przedsięwzięć:</w:t>
      </w:r>
    </w:p>
    <w:p w14:paraId="107FDF1F" w14:textId="77777777" w:rsidR="00192FD2" w:rsidRDefault="00000000">
      <w:pPr>
        <w:numPr>
          <w:ilvl w:val="0"/>
          <w:numId w:val="4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 zakresie programów, projektów lub zadań związanych z programami realizowanymi z udziałem środków z UE:</w:t>
      </w:r>
    </w:p>
    <w:p w14:paraId="149F58AB" w14:textId="77777777" w:rsidR="00192FD2" w:rsidRDefault="00000000">
      <w:pPr>
        <w:numPr>
          <w:ilvl w:val="1"/>
          <w:numId w:val="4"/>
        </w:numPr>
        <w:tabs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Stworzenie mieszkania wspomaganego w Gminie Barwice – zmiana w przedsięwzięciu obejmuje m.in.:</w:t>
      </w:r>
    </w:p>
    <w:p w14:paraId="401958A2" w14:textId="77777777" w:rsidR="00192FD2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zwiększenie łącznych nakładów ogółem, limitu wydatków na realizację zadania w roku budżetowym oraz limitu zobowiązań o kwotę 115 448,18 zł;</w:t>
      </w:r>
    </w:p>
    <w:p w14:paraId="276A27C1" w14:textId="77777777" w:rsidR="00192FD2" w:rsidRDefault="00000000">
      <w:pPr>
        <w:numPr>
          <w:ilvl w:val="0"/>
          <w:numId w:val="4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 zakresie programów, projektów lub zadań innych (finansowanych ze środków krajowych):</w:t>
      </w:r>
    </w:p>
    <w:p w14:paraId="2E83D5FB" w14:textId="77777777" w:rsidR="00192FD2" w:rsidRDefault="00000000">
      <w:pPr>
        <w:numPr>
          <w:ilvl w:val="1"/>
          <w:numId w:val="4"/>
        </w:numPr>
        <w:tabs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Program "Ciepłe mieszkanie" – zmiana w przedsięwzięciu obejmuje m.in.:</w:t>
      </w:r>
    </w:p>
    <w:p w14:paraId="12B4C0DF" w14:textId="77777777" w:rsidR="00192FD2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zmniejszenie limitu zobowiązań oraz limitu wydatków na realizację zadania w roku budżetowym o kwotę 44 000,00 zł.</w:t>
      </w:r>
    </w:p>
    <w:p w14:paraId="3B57F7D0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Zmiany wprowadzone w wykazie wieloletnich przedsięwzięć nie spowodowały zmiany horyzontu czasowego załącznika nr 2 WPF.</w:t>
      </w:r>
    </w:p>
    <w:p w14:paraId="38CAC75F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Zmiany wprowadzone w wykazie wieloletnich przedsięwzięć wpłynęły na zmianę pozycji 10.1.1 i 10.1.2 WPF, co przedstawiono w tabelach poniżej.</w:t>
      </w:r>
    </w:p>
    <w:p w14:paraId="564F5510" w14:textId="77777777" w:rsidR="00192FD2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Zmiany w wydatkach bieżących objętych limitem z art. 226 ust. 3 pkt 4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47"/>
        <w:gridCol w:w="2118"/>
        <w:gridCol w:w="2118"/>
        <w:gridCol w:w="2117"/>
      </w:tblGrid>
      <w:tr w:rsidR="00192FD2" w14:paraId="340050AB" w14:textId="77777777">
        <w:trPr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F2094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19877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3111A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406AA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192FD2" w14:paraId="2328819E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390B5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32866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1 309 258,68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1B72E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+115 448,18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D4FBB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1 424 706,86</w:t>
            </w:r>
          </w:p>
        </w:tc>
      </w:tr>
    </w:tbl>
    <w:p w14:paraId="64014537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1FC93F60" w14:textId="77777777" w:rsidR="00192FD2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Zmiany w wydatkach majątkowych objętych limitem z art. 226 ust. 3 pkt 4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47"/>
        <w:gridCol w:w="2118"/>
        <w:gridCol w:w="2118"/>
        <w:gridCol w:w="2117"/>
      </w:tblGrid>
      <w:tr w:rsidR="00192FD2" w14:paraId="3589A242" w14:textId="77777777">
        <w:trPr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10B0A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124DA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F64BB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85A37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192FD2" w14:paraId="1F1CC8C6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2933E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7B1F3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12 511 075,88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29E00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+64 020,19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46753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12 575 096,07</w:t>
            </w:r>
          </w:p>
        </w:tc>
      </w:tr>
      <w:tr w:rsidR="00192FD2" w14:paraId="6BF30B73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F23CE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D6171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3 644 962,08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FEA17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+5 000,00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45D7B" w14:textId="77777777" w:rsidR="00192FD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3 649 962,08</w:t>
            </w:r>
          </w:p>
        </w:tc>
      </w:tr>
    </w:tbl>
    <w:p w14:paraId="660B3DD3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584FBC04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lastRenderedPageBreak/>
        <w:t>Wartości wykazane w pozostałych pozycjach WPF, stanowią informacje uzupełniające względem pozycji opisanych powyżej. Zostały przedstawione w WPF zgodnie z obowiązującym stanem faktycznym, na podstawie zawartych umów i porozumień.</w:t>
      </w:r>
    </w:p>
    <w:p w14:paraId="05ECC2AB" w14:textId="77777777" w:rsidR="00192FD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Pełen zakres zmian obrazują załączniki nr 1 i 2 do niniejszej uchwały.</w:t>
      </w:r>
    </w:p>
    <w:p w14:paraId="66F4CC19" w14:textId="77777777" w:rsidR="00192FD2" w:rsidRDefault="00192FD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846BAD7" w14:textId="77777777" w:rsidR="00192FD2" w:rsidRDefault="00192FD2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C7AA931" w14:textId="77777777" w:rsidR="00192FD2" w:rsidRDefault="00192FD2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192FD2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spacing w:beforeAutospacing="0" w:after="0" w:afterAutospacing="0" w:line="240" w:lineRule="auto"/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lowerLetter"/>
      <w:lvlText w:val="%3."/>
      <w:lvlJc w:val="left"/>
      <w:pPr>
        <w:spacing w:beforeAutospacing="0" w:after="0" w:afterAutospacing="0" w:line="240" w:lineRule="auto"/>
        <w:ind w:left="212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lowerLetter"/>
      <w:lvlText w:val="%4."/>
      <w:lvlJc w:val="left"/>
      <w:pPr>
        <w:spacing w:beforeAutospacing="0" w:after="0" w:afterAutospacing="0" w:line="240" w:lineRule="auto"/>
        <w:ind w:left="248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lowerLetter"/>
      <w:lvlText w:val="%5."/>
      <w:lvlJc w:val="left"/>
      <w:pPr>
        <w:spacing w:beforeAutospacing="0" w:after="0" w:afterAutospacing="0" w:line="240" w:lineRule="auto"/>
        <w:ind w:left="284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lowerLetter"/>
      <w:lvlText w:val="%6."/>
      <w:lvlJc w:val="left"/>
      <w:pPr>
        <w:spacing w:beforeAutospacing="0" w:after="0" w:afterAutospacing="0" w:line="240" w:lineRule="auto"/>
        <w:ind w:left="320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lowerLetter"/>
      <w:lvlText w:val="%7."/>
      <w:lvlJc w:val="left"/>
      <w:pPr>
        <w:spacing w:beforeAutospacing="0" w:after="0" w:afterAutospacing="0" w:line="240" w:lineRule="auto"/>
        <w:ind w:left="356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lowerLetter"/>
      <w:lvlText w:val="%8."/>
      <w:lvlJc w:val="left"/>
      <w:pPr>
        <w:spacing w:beforeAutospacing="0" w:after="0" w:afterAutospacing="0" w:line="240" w:lineRule="auto"/>
        <w:ind w:left="392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lowerLetter"/>
      <w:lvlText w:val="%9."/>
      <w:lvlJc w:val="left"/>
      <w:pPr>
        <w:spacing w:beforeAutospacing="0" w:after="0" w:afterAutospacing="0" w:line="240" w:lineRule="auto"/>
        <w:ind w:left="428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1" w15:restartNumberingAfterBreak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spacing w:beforeAutospacing="0" w:after="0" w:afterAutospacing="0" w:line="240" w:lineRule="auto"/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spacing w:beforeAutospacing="0" w:after="0" w:afterAutospacing="0" w:line="240" w:lineRule="auto"/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spacing w:beforeAutospacing="0" w:after="0" w:afterAutospacing="0" w:line="240" w:lineRule="auto"/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spacing w:beforeAutospacing="0" w:after="0" w:afterAutospacing="0" w:line="240" w:lineRule="auto"/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spacing w:beforeAutospacing="0" w:after="0" w:afterAutospacing="0" w:line="240" w:lineRule="auto"/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spacing w:beforeAutospacing="0" w:after="0" w:afterAutospacing="0" w:line="240" w:lineRule="auto"/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spacing w:beforeAutospacing="0" w:after="0" w:afterAutospacing="0" w:line="240" w:lineRule="auto"/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spacing w:beforeAutospacing="0" w:after="0" w:afterAutospacing="0" w:line="240" w:lineRule="auto"/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2" w15:restartNumberingAfterBreak="0">
    <w:nsid w:val="00000003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spacing w:beforeAutospacing="0" w:after="0" w:afterAutospacing="0" w:line="240" w:lineRule="auto"/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spacing w:beforeAutospacing="0" w:after="0" w:afterAutospacing="0" w:line="240" w:lineRule="auto"/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spacing w:beforeAutospacing="0" w:after="0" w:afterAutospacing="0" w:line="240" w:lineRule="auto"/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spacing w:beforeAutospacing="0" w:after="0" w:afterAutospacing="0" w:line="240" w:lineRule="auto"/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spacing w:beforeAutospacing="0" w:after="0" w:afterAutospacing="0" w:line="240" w:lineRule="auto"/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spacing w:beforeAutospacing="0" w:after="0" w:afterAutospacing="0" w:line="240" w:lineRule="auto"/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spacing w:beforeAutospacing="0" w:after="0" w:afterAutospacing="0" w:line="240" w:lineRule="auto"/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spacing w:beforeAutospacing="0" w:after="0" w:afterAutospacing="0" w:line="240" w:lineRule="auto"/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3" w15:restartNumberingAfterBreak="0">
    <w:nsid w:val="00000004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)"/>
      <w:lvlJc w:val="left"/>
      <w:pPr>
        <w:spacing w:beforeAutospacing="0" w:after="0" w:afterAutospacing="0" w:line="240" w:lineRule="auto"/>
        <w:ind w:left="141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)"/>
      <w:lvlJc w:val="left"/>
      <w:pPr>
        <w:spacing w:beforeAutospacing="0" w:after="0" w:afterAutospacing="0" w:line="240" w:lineRule="auto"/>
        <w:ind w:left="177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)"/>
      <w:lvlJc w:val="left"/>
      <w:pPr>
        <w:spacing w:beforeAutospacing="0" w:after="0" w:afterAutospacing="0" w:line="240" w:lineRule="auto"/>
        <w:ind w:left="213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)"/>
      <w:lvlJc w:val="left"/>
      <w:pPr>
        <w:spacing w:beforeAutospacing="0" w:after="0" w:afterAutospacing="0" w:line="240" w:lineRule="auto"/>
        <w:ind w:left="249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)"/>
      <w:lvlJc w:val="left"/>
      <w:pPr>
        <w:spacing w:beforeAutospacing="0" w:after="0" w:afterAutospacing="0" w:line="240" w:lineRule="auto"/>
        <w:ind w:left="285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)"/>
      <w:lvlJc w:val="left"/>
      <w:pPr>
        <w:spacing w:beforeAutospacing="0" w:after="0" w:afterAutospacing="0" w:line="240" w:lineRule="auto"/>
        <w:ind w:left="321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)"/>
      <w:lvlJc w:val="left"/>
      <w:pPr>
        <w:spacing w:beforeAutospacing="0" w:after="0" w:afterAutospacing="0" w:line="240" w:lineRule="auto"/>
        <w:ind w:left="357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)"/>
      <w:lvlJc w:val="left"/>
      <w:pPr>
        <w:spacing w:beforeAutospacing="0" w:after="0" w:afterAutospacing="0" w:line="240" w:lineRule="auto"/>
        <w:ind w:left="393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num w:numId="1" w16cid:durableId="758908465">
    <w:abstractNumId w:val="0"/>
  </w:num>
  <w:num w:numId="2" w16cid:durableId="501971669">
    <w:abstractNumId w:val="1"/>
  </w:num>
  <w:num w:numId="3" w16cid:durableId="1055469120">
    <w:abstractNumId w:val="2"/>
  </w:num>
  <w:num w:numId="4" w16cid:durableId="16838172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92FD2"/>
    <w:rsid w:val="001C3FC0"/>
    <w:rsid w:val="00347F5C"/>
    <w:rsid w:val="005324C6"/>
    <w:rsid w:val="007F63C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A8490B"/>
  <w15:docId w15:val="{6CA82A5D-6C64-4EE9-917A-D9598F97B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Kartarzyna%20Git\AppData\Local\Temp\Legislator\1A2073C8-3794-4268-871F-24551A6ED8DA\Zalacznik2.pdf" TargetMode="External"/><Relationship Id="rId5" Type="http://schemas.openxmlformats.org/officeDocument/2006/relationships/hyperlink" Target="file:///C:\Users\Kartarzyna%20Git\AppData\Local\Temp\Legislator\1A2073C8-3794-4268-871F-24551A6ED8DA\Zalacznik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1249</Words>
  <Characters>7495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8727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XXXIII/209/2026 z dnia 28 maja 2026 r.</dc:title>
  <dc:subject>w sprawie uchwalenia zmiany Wieloletniej Prognozy Finansowej Gminy Barwice na lata 2026-2035</dc:subject>
  <dc:creator>Lorkiewicz_J</dc:creator>
  <cp:lastModifiedBy>Justyna Lorkiewicz</cp:lastModifiedBy>
  <cp:revision>3</cp:revision>
  <dcterms:created xsi:type="dcterms:W3CDTF">2026-05-29T11:32:00Z</dcterms:created>
  <dcterms:modified xsi:type="dcterms:W3CDTF">2026-05-29T11:33:00Z</dcterms:modified>
  <cp:category>Akt prawny</cp:category>
</cp:coreProperties>
</file>