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A775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XXXI/184/2026</w:t>
      </w:r>
      <w:r>
        <w:rPr>
          <w:b/>
          <w:caps/>
        </w:rPr>
        <w:br/>
        <w:t>Rady Miejskiej w Barwicach</w:t>
      </w:r>
    </w:p>
    <w:p w14:paraId="02E1172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lutego 2026 r.</w:t>
      </w:r>
    </w:p>
    <w:p w14:paraId="1042F9A2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XXX/178/2026 Rady Miejskiej w Barwicach z dnia 29 stycznia 2026 r.</w:t>
      </w:r>
      <w:r>
        <w:rPr>
          <w:b/>
        </w:rPr>
        <w:br/>
        <w:t>w sprawie uchwalenia wieloletniego programu gospodarowania mieszkaniowym zasobem Gminy Barwice na lata 2026 – 2030</w:t>
      </w:r>
    </w:p>
    <w:p w14:paraId="746F7EFD" w14:textId="77777777" w:rsidR="00A77B3E" w:rsidRDefault="00000000">
      <w:pPr>
        <w:keepLines/>
        <w:spacing w:before="120" w:after="120"/>
        <w:ind w:firstLine="227"/>
      </w:pPr>
      <w:r>
        <w:t>Na podstawie art. 18 ust. 2 pkt. 15, art. 40 ust. 1 ustawy z dnia 8 marca 1990 r. o samorządzie gminnym (</w:t>
      </w:r>
      <w:proofErr w:type="spellStart"/>
      <w:r>
        <w:t>t.j</w:t>
      </w:r>
      <w:proofErr w:type="spellEnd"/>
      <w:r>
        <w:t>. Dz. U. z 2025 r. poz. 1153 z </w:t>
      </w:r>
      <w:proofErr w:type="spellStart"/>
      <w:r>
        <w:t>późn</w:t>
      </w:r>
      <w:proofErr w:type="spellEnd"/>
      <w:r>
        <w:t>. zm.), art. 21 ust. 1 pkt. 1 i ust. 2 pkt. 1-8 ustawy z dnia 21 czerwca 2001 r. o ochronie praw lokatorów, mieszkaniowym zasobie gminy i o zmianie Kodeksu cywilnego (</w:t>
      </w:r>
      <w:proofErr w:type="spellStart"/>
      <w:r>
        <w:t>t.j</w:t>
      </w:r>
      <w:proofErr w:type="spellEnd"/>
      <w:r>
        <w:t>. Dz. U. z 2023 r. poz. 725) Rada Miejska w Barwicach uchwala co następuje:</w:t>
      </w:r>
    </w:p>
    <w:p w14:paraId="7467972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XXX/178/2026 Rady Miejskiej w Barwicach z dnia 29 stycznia 2026 r. w sprawie uchwalenia wieloletniego programu gospodarowania mieszkaniowym zasobem Gminy Barwice na lata 2026 – 2030 (Dz. Urz. Woj. Zachodniopomorskiego z 2026 r., poz. 629) wprowadza się następujące zmiany:</w:t>
      </w:r>
    </w:p>
    <w:p w14:paraId="649A4EAB" w14:textId="77777777" w:rsidR="00655FBF" w:rsidRDefault="00000000">
      <w:pPr>
        <w:keepLines/>
        <w:spacing w:before="120" w:after="120"/>
        <w:ind w:firstLine="340"/>
      </w:pPr>
      <w:r>
        <w:t>1. Rozdział 5. Zasady polityki czynszowej oraz warunki obniżania czynszu otrzymuje następujące brzmienie: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51EE56C" w14:textId="149C3523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  <w:color w:val="000000"/>
          <w:u w:color="000000"/>
        </w:rPr>
        <w:t>Rozdział 5. ZASADY POLITYKI CZYNSZOWEJ ORAZ WARUNKI OBNIŻANIA CZYNSZU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t>W okresie objętym Programem polityka czynszowa zmierzać będzie do równoważenia wydatków na utrzymanie zasobu mieszkaniowego z wpływami z czynszu z tytułu najmu lokali mieszkalnych.  Polityka czynszowa gminy będzie zmierzać do takiego kształtowania stawek czynszu w latach 2026-2030, które zapewniłyby samofinansowanie gospodarki mieszkaniowej. Wpływy z czynszów stopniowo powinny pokrywać nie tylko koszty bieżącego utrzymania budynków, ale zapewnić również pozyskanie środków na remonty, modernizację i poprawę stanu technicznego zasobu mieszkaniowego, tak aby zminimalizować dopłaty z budżetu gminy do utrzymania zasobu mieszkaniowego. Prognozuje się, że zmiana wysokości czynszu będzie zmierzała do stałego wzrostu w latach obowiązywania programu.</w:t>
      </w:r>
      <w:r w:rsidR="003D39B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Gmina będzie więc dążyć do takiego kształtowania stawek czynszowych, aby docelowo zapewnić samowystarczalność finansową gospodarki mieszkaniowej. Działania podejmowane w zakresie polityki czynszowej zmierzają do utrzymania zasobu mieszkaniowego na zadowalającym poziomie technicznym i estetycznym. Dążąc do urealnienia stawek czynszu na poziomie umożliwiającym osiągnięcie środków finansowych na ich utrzymanie w stanie niepogorszonym i w perspektywie osiągnięcia czynszu na poziomie maksymalnie do 3% wartości odtworzeniowej, regulacja stawek czynszu odbywać się będzie na bazie wskaźników przeliczeniowych kosztu odtworzenia 1m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budynków mieszkalnych (przeciętnego kosztu budowy na terenie województwa zachodniopomorskiego) na okres od 1 kwietnia do 30 września danego roku ogłoszonego przez Wojewodę Zachodniopomorskiego. Stawka czynszu odtworzeniowego (miesięcznego) obliczana będzie według wzoru :</w:t>
      </w:r>
      <w:r>
        <w:rPr>
          <w:color w:val="000000"/>
          <w:u w:color="000000"/>
        </w:rPr>
        <w:tab/>
      </w:r>
    </w:p>
    <w:p w14:paraId="4D543EDE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2AD8C381" wp14:editId="58D0FEE2">
            <wp:extent cx="716797" cy="343148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6797" cy="34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CB44C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br/>
        <w:t>gdzie: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  <w:t>S – miesięczna stawka czynszu odtworzeniowego (zł/m²/m-c),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  <w:t>Wₒ – wartość odtworzeniowa 1 m² powierzchni użytkowej lokalu (zł/m²),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  <w:t>r – roczna stopa procentowa określająca udział czynszu w wartości odtworzeniowej (wyrażona w %),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  <w:t>12 – liczba miesięcy w roku.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009DA5CC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Prognozuje się coroczny wzrost stawki czynszu o co najmniej 0,1% wskaźnika odtworzeniowego w stosunku do roku poprzedniego, przy założeniu, że w ostatnim roku obowiązywania programu stawka ta nie przekroczy 2% wskaźnika odtworzeniowego. Tym samym maksymalna stawka czynszu wyniesie: </w:t>
      </w:r>
      <w:r>
        <w:rPr>
          <w:color w:val="000000"/>
          <w:u w:color="000000"/>
        </w:rPr>
        <w:br/>
        <w:t>1,2% w 2026 r.; 1,4% w 2027 r.; 1,6% w 2028 r.; 1,8% w 2029 r. oraz 2,0% w 2030 r., w odniesieniu do wskaźnika odtworzeniowego obowiązującego w okresie od 1 kwietnia do 30 września danego roku.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lastRenderedPageBreak/>
        <w:t>Poglądowy wzrost stawki bazowej czynszu w latach 2026 - 2030 przedstawia poniższa tabela 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br/>
      </w:r>
      <w:r>
        <w:rPr>
          <w:color w:val="000000"/>
          <w:u w:val="single" w:color="000000"/>
        </w:rPr>
        <w:t>Tabela nr 7.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9"/>
        <w:gridCol w:w="6577"/>
      </w:tblGrid>
      <w:tr w:rsidR="001300E9" w14:paraId="618B34D3" w14:textId="77777777">
        <w:trPr>
          <w:trHeight w:val="523"/>
        </w:trPr>
        <w:tc>
          <w:tcPr>
            <w:tcW w:w="10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EE42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Ustala się stawki bazowe czynszu w poszczególnych latach maksymalnie do :</w:t>
            </w:r>
          </w:p>
        </w:tc>
      </w:tr>
      <w:tr w:rsidR="001300E9" w14:paraId="70455250" w14:textId="77777777">
        <w:trPr>
          <w:trHeight w:val="50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4767212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2026</w:t>
            </w:r>
          </w:p>
        </w:tc>
        <w:tc>
          <w:tcPr>
            <w:tcW w:w="70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F02FA33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1,20 % wartości odtworzeniowej 1 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powierzchni</w:t>
            </w:r>
          </w:p>
        </w:tc>
      </w:tr>
      <w:tr w:rsidR="001300E9" w14:paraId="298B62B6" w14:textId="77777777">
        <w:trPr>
          <w:trHeight w:val="50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E73B476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2027</w:t>
            </w:r>
          </w:p>
        </w:tc>
        <w:tc>
          <w:tcPr>
            <w:tcW w:w="70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7DECDD6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1,40 % wartości odtworzeniowej 1 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powierzchni</w:t>
            </w:r>
          </w:p>
        </w:tc>
      </w:tr>
      <w:tr w:rsidR="001300E9" w14:paraId="1CD5C572" w14:textId="77777777">
        <w:trPr>
          <w:trHeight w:val="50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3569D08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2028</w:t>
            </w:r>
          </w:p>
        </w:tc>
        <w:tc>
          <w:tcPr>
            <w:tcW w:w="70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CD32F99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1,60 % wartości odtworzeniowej 1 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powierzchni</w:t>
            </w:r>
          </w:p>
        </w:tc>
      </w:tr>
      <w:tr w:rsidR="001300E9" w14:paraId="748B26EF" w14:textId="77777777">
        <w:trPr>
          <w:trHeight w:val="50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004571E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2029</w:t>
            </w:r>
          </w:p>
        </w:tc>
        <w:tc>
          <w:tcPr>
            <w:tcW w:w="70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18EF649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1,80 % wartości odtworzeniowej 1 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powierzchni</w:t>
            </w:r>
          </w:p>
        </w:tc>
      </w:tr>
      <w:tr w:rsidR="001300E9" w14:paraId="2999D16B" w14:textId="77777777">
        <w:trPr>
          <w:trHeight w:val="50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961858E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2030</w:t>
            </w:r>
          </w:p>
        </w:tc>
        <w:tc>
          <w:tcPr>
            <w:tcW w:w="701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D4D4D43" w14:textId="77777777" w:rsidR="00A77B3E" w:rsidRDefault="00000000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2,00 % wartości odtworzeniowej 1 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 xml:space="preserve"> powierzchni</w:t>
            </w:r>
          </w:p>
        </w:tc>
      </w:tr>
    </w:tbl>
    <w:p w14:paraId="0D03B3B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każdym roku obowiązywania programu zakłada się stopniowe zwiększanie stawki bazowej czynszu w taki sposób, aby w pierwszym roku obowiązywania programu osiągnęła ona maksymalnie do 1,2% wartości wskaźnika odtworzeniowego, a w kolejnych czterech latach była corocznie zwiększana nie mniej niż o 0,1% wskaźnika odtworzeniowego w stosunku do roku poprzedniego. W ostatnim roku obowiązywania programu, tj. w 2030 r., stawka czynszu może osiągnąć maksymalnie poziom 2,0% wskaźnika odtworzeniowego ogłoszonego przez Wojewodę na okres od 1 kwietnia 2030 r. do 30 września 2030 r. W lokalach wchodzących w skład mieszkaniowego zasobu Gminy wysokość stawki czynszu za 1 m² powierzchni użytkowej lokalu ustalana jest indywidualnie dla każdego lokalu na podstawie obowiązującej stawki bazowej czynszu oraz czynników ją korygujących, wynikających z położenia lokalu, standardu, wyposażenia technicznego, stanu technicznego budynku oraz innych cech użytkowych wpływających na wartość użytkową lokalu. Ustala się następujące czynniki obniżające wysokość stawki czynszu za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lokali mieszkalnych stanowiących gminny zasób mieszkaniowy :</w:t>
      </w:r>
    </w:p>
    <w:p w14:paraId="62113B2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brak c.o. w lokalu – 10 %</w:t>
      </w:r>
    </w:p>
    <w:p w14:paraId="4A174D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brak łazienki w lokalu – 10 %</w:t>
      </w:r>
    </w:p>
    <w:p w14:paraId="7B0B4E5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brak wody w lokalu – 15 %</w:t>
      </w:r>
    </w:p>
    <w:p w14:paraId="7BC878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brak kanalizacji w lokalu – 5 %</w:t>
      </w:r>
    </w:p>
    <w:p w14:paraId="54BB299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lokal położony na terenach wiejskich – 5 %</w:t>
      </w:r>
    </w:p>
    <w:p w14:paraId="2B3657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usytuowanie lokalu na poddaszu - 5 %;</w:t>
      </w:r>
    </w:p>
    <w:p w14:paraId="5EBC09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stan techniczny budynku określony w protokole z rocznej kontroli „zły” – 5%</w:t>
      </w:r>
    </w:p>
    <w:p w14:paraId="6ED2F797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E713E50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lastRenderedPageBreak/>
        <w:t>Tabela nr 8.</w:t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tab/>
      </w:r>
      <w:r>
        <w:rPr>
          <w:color w:val="000000"/>
          <w:u w:val="single" w:color="000000"/>
        </w:rPr>
        <w:br/>
      </w:r>
      <w:r>
        <w:rPr>
          <w:noProof/>
          <w:color w:val="000000"/>
          <w:u w:color="000000"/>
        </w:rPr>
        <w:drawing>
          <wp:inline distT="0" distB="0" distL="0" distR="0" wp14:anchorId="64CF07D4" wp14:editId="756C4726">
            <wp:extent cx="6100403" cy="5070960"/>
            <wp:effectExtent l="0" t="0" r="0" b="0"/>
            <wp:docPr id="100003" name="Obraz 100003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0403" cy="507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0509D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* dane uzyskane od Zarządcy nieruchomości – „Zakład Gospodarki Mieszkaniowej” Sp. z o.o. w Barwicach</w:t>
      </w:r>
    </w:p>
    <w:p w14:paraId="74D170C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 czasie trwania stosunku najmu wynajmujący może podwyższyć stawkę czynszu, jeżeli dokonał w lokalu ulepszeń mających wpływ na wysokość czynszu. W przypadku ulepszeń lokalu przez najemcę, za zgodą wynajmującego i na własny koszt, wysokość stawki czynszu nie ulega zmianie. Najemca oprócz czynszu jest obowiązany do uiszczania opłat związanych z eksploatacją lokalu, niezależnych od właściciela tj. opłat za dostarczenie wody i odprowadzanie ścieków, odpadów stałych, itp.</w:t>
      </w:r>
    </w:p>
    <w:p w14:paraId="21E1332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Pozostałe postanowienia uchwały nie ulegają zmianie.</w:t>
      </w:r>
    </w:p>
    <w:p w14:paraId="33A02A4C" w14:textId="77777777" w:rsidR="0035273C" w:rsidRDefault="00000000" w:rsidP="0035273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37612818" w14:textId="3DB539A7" w:rsidR="00A77B3E" w:rsidRDefault="00000000" w:rsidP="0035273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ogłoszenia w Dzienniku Urzędowym Województwa Zachodniopomorskiego.</w:t>
      </w:r>
    </w:p>
    <w:p w14:paraId="254C01A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300E9" w14:paraId="5D979B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E92555" w14:textId="77777777" w:rsidR="001300E9" w:rsidRDefault="001300E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4A25C3" w14:textId="77777777" w:rsidR="001300E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1C3B5280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00E9"/>
    <w:rsid w:val="0035273C"/>
    <w:rsid w:val="003D39B8"/>
    <w:rsid w:val="00420BCF"/>
    <w:rsid w:val="004C000A"/>
    <w:rsid w:val="00655FBF"/>
    <w:rsid w:val="00A62FFE"/>
    <w:rsid w:val="00A77B3E"/>
    <w:rsid w:val="00BF1DB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8F2A9"/>
  <w15:docId w15:val="{BC7C4324-3EA2-44DF-ABFB-1B2B0FDC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Zalacznik22A3A30A-927B-4D1E-9050-947E6912D303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Zalacznik73C3B5C2-1CB1-40AC-A2DC-EDD18262B32F.pn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925</Words>
  <Characters>5550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XXXI/184/2026 z dnia 26 lutego 2026 r.</dc:title>
  <dc:subject>w sprawie zmiany Uchwały Nr XXX/178/2026 Rady Miejskiej w^Barwicach z^dnia 29^stycznia 2026^r.
w sprawie uchwalenia wieloletniego programu gospodarowania mieszkaniowym zasobem Gminy Barwice na lata 2026^– 2030</dc:subject>
  <dc:creator>Lorkiewicz_J</dc:creator>
  <cp:lastModifiedBy>Justyna Lorkiewicz</cp:lastModifiedBy>
  <cp:revision>5</cp:revision>
  <dcterms:created xsi:type="dcterms:W3CDTF">2026-02-26T11:10:00Z</dcterms:created>
  <dcterms:modified xsi:type="dcterms:W3CDTF">2026-02-26T11:44:00Z</dcterms:modified>
  <cp:category>Akt prawny</cp:category>
</cp:coreProperties>
</file>