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66A6B" w14:textId="77777777" w:rsidR="00A77B3E" w:rsidRDefault="00000000">
      <w:pPr>
        <w:jc w:val="center"/>
        <w:rPr>
          <w:b/>
          <w:caps/>
        </w:rPr>
      </w:pPr>
      <w:r>
        <w:rPr>
          <w:b/>
          <w:caps/>
        </w:rPr>
        <w:t>Uchwała Nr XIX/114/2025</w:t>
      </w:r>
      <w:r>
        <w:rPr>
          <w:b/>
          <w:caps/>
        </w:rPr>
        <w:br/>
        <w:t>Rady Miejskiej w Barwicach</w:t>
      </w:r>
    </w:p>
    <w:p w14:paraId="1BBD6EC1" w14:textId="77777777" w:rsidR="00A77B3E" w:rsidRDefault="00000000">
      <w:pPr>
        <w:spacing w:before="280" w:after="280"/>
        <w:jc w:val="center"/>
        <w:rPr>
          <w:b/>
          <w:caps/>
        </w:rPr>
      </w:pPr>
      <w:r>
        <w:t>z dnia 26 czerwca 2025 r.</w:t>
      </w:r>
    </w:p>
    <w:p w14:paraId="4D4E9A89" w14:textId="77777777" w:rsidR="00A77B3E" w:rsidRDefault="00000000">
      <w:pPr>
        <w:keepNext/>
        <w:spacing w:after="480"/>
        <w:jc w:val="center"/>
      </w:pPr>
      <w:r>
        <w:rPr>
          <w:b/>
        </w:rPr>
        <w:t>w sprawie pozostawienia skargi bez rozpoznania</w:t>
      </w:r>
    </w:p>
    <w:p w14:paraId="5B8B4AFE" w14:textId="77777777" w:rsidR="00A77B3E" w:rsidRDefault="00000000">
      <w:pPr>
        <w:keepLines/>
        <w:spacing w:before="120" w:after="120"/>
        <w:ind w:firstLine="227"/>
      </w:pPr>
      <w:r>
        <w:t>Na podstawie art. 18 ust. 2 pkt. 15 ustawy z dnia 8 marca 1990 r. o samorządzie gminnym (</w:t>
      </w:r>
      <w:proofErr w:type="spellStart"/>
      <w:r>
        <w:t>t.j</w:t>
      </w:r>
      <w:proofErr w:type="spellEnd"/>
      <w:r>
        <w:t>. Dz. U. z 2024 r. poz. 1465 z </w:t>
      </w:r>
      <w:proofErr w:type="spellStart"/>
      <w:r>
        <w:t>późn</w:t>
      </w:r>
      <w:proofErr w:type="spellEnd"/>
      <w:r>
        <w:t>. zm.) oraz § 8 ust. 1 Rozporządzenia Rady Ministrów z dnia 8 stycznia 2002 r. w sprawie organizacji przyjmowania i rozpatrywania skarg i wniosków (Dz. U. z 2002 r. nr 5 poz. 46) Rada Miejska w Barwicach uchwala co następuje :</w:t>
      </w:r>
    </w:p>
    <w:p w14:paraId="09C8C838" w14:textId="77777777" w:rsidR="00A77B3E" w:rsidRDefault="00000000">
      <w:pPr>
        <w:keepLines/>
        <w:spacing w:before="120" w:after="120"/>
        <w:ind w:firstLine="340"/>
        <w:rPr>
          <w:color w:val="000000"/>
          <w:u w:color="000000"/>
        </w:rPr>
      </w:pPr>
      <w:r>
        <w:rPr>
          <w:b/>
        </w:rPr>
        <w:t>§ 1. </w:t>
      </w:r>
      <w:r>
        <w:t xml:space="preserve">1. Pozostawia się bez rozpoznania anonimową skargę z dnia 12 marca 2025 r. na działalność Sołtysa sołectwa Białowąs. </w:t>
      </w:r>
    </w:p>
    <w:p w14:paraId="76B5CCEE" w14:textId="77777777" w:rsidR="00A77B3E" w:rsidRDefault="00000000">
      <w:pPr>
        <w:keepLines/>
        <w:spacing w:before="120" w:after="120"/>
        <w:ind w:firstLine="340"/>
        <w:rPr>
          <w:color w:val="000000"/>
          <w:u w:color="000000"/>
        </w:rPr>
      </w:pPr>
      <w:r>
        <w:t>2. </w:t>
      </w:r>
      <w:r>
        <w:rPr>
          <w:color w:val="000000"/>
          <w:u w:color="000000"/>
        </w:rPr>
        <w:t>Uzasadnienie do uchwały stanowi jej załącznik.</w:t>
      </w:r>
    </w:p>
    <w:p w14:paraId="3783B654" w14:textId="77777777" w:rsidR="00A77B3E" w:rsidRDefault="00000000">
      <w:pPr>
        <w:keepNext/>
        <w:keepLines/>
        <w:spacing w:before="120" w:after="120"/>
        <w:ind w:firstLine="340"/>
        <w:rPr>
          <w:color w:val="000000"/>
          <w:u w:color="000000"/>
        </w:rPr>
      </w:pPr>
      <w:r>
        <w:rPr>
          <w:b/>
        </w:rPr>
        <w:t>§ 2. </w:t>
      </w:r>
      <w:r>
        <w:rPr>
          <w:color w:val="000000"/>
          <w:u w:color="000000"/>
        </w:rPr>
        <w:t>Uchwała wchodzi w życie z dniem podjęcia.</w:t>
      </w:r>
    </w:p>
    <w:p w14:paraId="52F695B2" w14:textId="77777777" w:rsidR="00A77B3E" w:rsidRDefault="00A77B3E">
      <w:pPr>
        <w:keepNext/>
        <w:keepLines/>
        <w:spacing w:before="120" w:after="120"/>
        <w:ind w:firstLine="340"/>
        <w:rPr>
          <w:color w:val="000000"/>
          <w:u w:color="000000"/>
        </w:rPr>
      </w:pPr>
    </w:p>
    <w:p w14:paraId="58D9BE0E"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E517D7" w14:paraId="19579628" w14:textId="77777777">
        <w:tc>
          <w:tcPr>
            <w:tcW w:w="2500" w:type="pct"/>
            <w:tcMar>
              <w:top w:w="0" w:type="dxa"/>
              <w:left w:w="0" w:type="dxa"/>
              <w:bottom w:w="0" w:type="dxa"/>
              <w:right w:w="0" w:type="dxa"/>
            </w:tcMar>
            <w:hideMark/>
          </w:tcPr>
          <w:p w14:paraId="345D0A9C" w14:textId="77777777" w:rsidR="00E517D7" w:rsidRDefault="00E517D7">
            <w:pPr>
              <w:keepNext/>
              <w:keepLines/>
              <w:jc w:val="left"/>
              <w:rPr>
                <w:color w:val="000000"/>
                <w:szCs w:val="22"/>
              </w:rPr>
            </w:pPr>
          </w:p>
        </w:tc>
        <w:tc>
          <w:tcPr>
            <w:tcW w:w="2500" w:type="pct"/>
            <w:tcMar>
              <w:top w:w="0" w:type="dxa"/>
              <w:left w:w="0" w:type="dxa"/>
              <w:bottom w:w="0" w:type="dxa"/>
              <w:right w:w="0" w:type="dxa"/>
            </w:tcMar>
            <w:hideMark/>
          </w:tcPr>
          <w:p w14:paraId="706CCF3F" w14:textId="77777777" w:rsidR="00E517D7"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50283028" w14:textId="77777777"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30CC4E24" w14:textId="77777777" w:rsidR="00E517D7" w:rsidRDefault="00E517D7">
      <w:pPr>
        <w:rPr>
          <w:szCs w:val="20"/>
        </w:rPr>
      </w:pPr>
    </w:p>
    <w:p w14:paraId="28DE8C3A" w14:textId="77777777" w:rsidR="00E517D7" w:rsidRDefault="00000000">
      <w:pPr>
        <w:jc w:val="center"/>
        <w:rPr>
          <w:szCs w:val="20"/>
        </w:rPr>
      </w:pPr>
      <w:r>
        <w:rPr>
          <w:b/>
          <w:szCs w:val="20"/>
        </w:rPr>
        <w:t>Uzasadnienie</w:t>
      </w:r>
    </w:p>
    <w:p w14:paraId="7CB65C0B" w14:textId="77777777" w:rsidR="00E517D7" w:rsidRDefault="00000000">
      <w:pPr>
        <w:spacing w:before="120" w:after="120"/>
        <w:ind w:firstLine="227"/>
        <w:rPr>
          <w:szCs w:val="20"/>
        </w:rPr>
      </w:pPr>
      <w:r>
        <w:rPr>
          <w:szCs w:val="20"/>
        </w:rPr>
        <w:t>W dniu 12 marca 2025 r. do Biura Rady Miejskiej w Barwicach wpłynęła anonimowa skarga na działalność Sołtysa sołectwa Białowąs. Anonimowa skarga została przekazana Radzie Miejskiej w Barwicach przez Burmistrza Barwic, do którego przedmiotowa skarga wpłynęła pierwotnie w dniu 10 marca 2025 r.</w:t>
      </w:r>
    </w:p>
    <w:p w14:paraId="7AF5FD11" w14:textId="77777777" w:rsidR="00E517D7" w:rsidRDefault="00000000">
      <w:pPr>
        <w:spacing w:before="120" w:after="120"/>
        <w:ind w:firstLine="227"/>
        <w:rPr>
          <w:szCs w:val="20"/>
        </w:rPr>
      </w:pPr>
      <w:r>
        <w:rPr>
          <w:szCs w:val="20"/>
        </w:rPr>
        <w:t>Zgodnie z art. 229 pkt 3 ustawy z dnia 14 czerwca 1960 r. Kodeks postępowania administracyjnego (</w:t>
      </w:r>
      <w:proofErr w:type="spellStart"/>
      <w:r>
        <w:rPr>
          <w:szCs w:val="20"/>
        </w:rPr>
        <w:t>t.j</w:t>
      </w:r>
      <w:proofErr w:type="spellEnd"/>
      <w:r>
        <w:rPr>
          <w:szCs w:val="20"/>
        </w:rPr>
        <w:t>. Dz. U. z 2024 r. poz. 572)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49FA64BE" w14:textId="77777777" w:rsidR="00E517D7" w:rsidRDefault="00000000">
      <w:pPr>
        <w:spacing w:before="120" w:after="120"/>
        <w:ind w:firstLine="227"/>
        <w:rPr>
          <w:szCs w:val="20"/>
        </w:rPr>
      </w:pPr>
      <w:r>
        <w:rPr>
          <w:szCs w:val="20"/>
        </w:rPr>
        <w:t>Z kolei zgodnie z art. 18b ust. 1 ustawy z dnia 8 marca 1990 r. o samorządzie gminnym (</w:t>
      </w:r>
      <w:proofErr w:type="spellStart"/>
      <w:r>
        <w:rPr>
          <w:szCs w:val="20"/>
        </w:rPr>
        <w:t>t.j</w:t>
      </w:r>
      <w:proofErr w:type="spellEnd"/>
      <w:r>
        <w:rPr>
          <w:szCs w:val="20"/>
        </w:rPr>
        <w:t>. Dz. U. z 2024 r. poz. 1465 z </w:t>
      </w:r>
      <w:proofErr w:type="spellStart"/>
      <w:r>
        <w:rPr>
          <w:szCs w:val="20"/>
        </w:rPr>
        <w:t>późn</w:t>
      </w:r>
      <w:proofErr w:type="spellEnd"/>
      <w:r>
        <w:rPr>
          <w:szCs w:val="20"/>
        </w:rPr>
        <w:t>. zm.) rada gminy rozpatruje skargi na działania wójta i gminnych jednostek organizacyjnych; wnioski oraz petycje składane przez obywateli; w tym celu powołuje komisję skarg, wniosków i petycji.</w:t>
      </w:r>
    </w:p>
    <w:p w14:paraId="25F7B8B3" w14:textId="77777777" w:rsidR="00E517D7" w:rsidRDefault="00000000">
      <w:pPr>
        <w:spacing w:before="120" w:after="120"/>
        <w:ind w:firstLine="227"/>
        <w:rPr>
          <w:szCs w:val="20"/>
        </w:rPr>
      </w:pPr>
      <w:r>
        <w:rPr>
          <w:szCs w:val="20"/>
        </w:rPr>
        <w:t>Należy przypomnieć, że powołanie jednostki pomocniczej, jak i określenie zakresu jej działania należy do wyłącznej kompetencji rady gminy, która sprawuje też nadzór nad działalnością jej organów i kontrolę jednostek pomocniczych (art. 18a ust 1 ustawy o samorządzie gminnym). Sołtys jest organem wykonawczym w sołectwie, na co wskazuje art. 36 ust. 1 ustawy o samorządzie gminnym. Na tej podstawie przyjmuje się, że nadzór nad działalnością organów jednostek pomocniczych w gminie sprawuje rada gminy.</w:t>
      </w:r>
    </w:p>
    <w:p w14:paraId="2B755F2E" w14:textId="77777777" w:rsidR="00E517D7" w:rsidRDefault="00000000">
      <w:pPr>
        <w:spacing w:before="120" w:after="120"/>
        <w:ind w:firstLine="227"/>
        <w:rPr>
          <w:szCs w:val="20"/>
        </w:rPr>
      </w:pPr>
      <w:r>
        <w:rPr>
          <w:szCs w:val="20"/>
        </w:rPr>
        <w:t>W świetle powyższego Rada Miejska w Barwicach – jako organ sprawujący kontrolę nad jednostkami pomocniczymi Gminy Barwic (tj. sołectwami) – jest organem właściwym do rozpatrywania skarg na działalność sołtysa.</w:t>
      </w:r>
    </w:p>
    <w:p w14:paraId="50D12B5F" w14:textId="77777777" w:rsidR="00E517D7" w:rsidRDefault="00000000">
      <w:pPr>
        <w:spacing w:before="120" w:after="120"/>
        <w:ind w:firstLine="227"/>
        <w:rPr>
          <w:szCs w:val="20"/>
        </w:rPr>
      </w:pPr>
      <w:r>
        <w:rPr>
          <w:szCs w:val="20"/>
        </w:rPr>
        <w:t>Przewodniczący Rady Miejskiej w Barwicach w dniu 12 marca 2025 r. przekazał skargę do Komisji Skarg, Wniosków i Petycji Rady Miejskiej w Barwicach celem ustosunkowania się do zarzutów podnoszonych w skardze. Komisja Skarg, Wniosków i Petycji Rady Miejskiej w Barwicach na posiedzeniu w dniu 3 kwietnia 2025 r. dokonała analizy złożonej skargi.</w:t>
      </w:r>
    </w:p>
    <w:p w14:paraId="0379B62E" w14:textId="77777777" w:rsidR="00E517D7" w:rsidRDefault="00000000">
      <w:pPr>
        <w:spacing w:before="120" w:after="120"/>
        <w:ind w:firstLine="227"/>
        <w:rPr>
          <w:szCs w:val="20"/>
        </w:rPr>
      </w:pPr>
      <w:r>
        <w:rPr>
          <w:szCs w:val="20"/>
        </w:rPr>
        <w:t>Na posiedzeniu Komisji Skarg, Wniosków i Petycji Rady Miejskiej w Barwicach w dniu 3 kwietnia 2025 r. Członkowie Komisji jednoznacznie stwierdzili, że skarga ma charakter skargi anonimowej, nie zawiera bowiem imienia i nazwiska oraz adresu wnoszącego skargę. Należy wskazać, że zgodnie z § 8 ust. 1 Rozporządzenia Rady Ministrów z dnia 8 stycznia 2002 r. w sprawie organizacji przyjmowania i rozpatrywania skarg i wniosków (Dz. U. z 2002 r. nr 5 poz. 46) skargi i wnioski niezawierające imienia i nazwiska (nazwy) oraz adresu wnoszącego pozostawia się bez rozpoznania.</w:t>
      </w:r>
    </w:p>
    <w:p w14:paraId="6F4EADF1" w14:textId="77777777" w:rsidR="00E517D7" w:rsidRDefault="00000000">
      <w:pPr>
        <w:spacing w:before="120" w:after="120"/>
        <w:ind w:firstLine="227"/>
        <w:rPr>
          <w:szCs w:val="20"/>
        </w:rPr>
      </w:pPr>
      <w:r>
        <w:rPr>
          <w:szCs w:val="20"/>
        </w:rPr>
        <w:t>Wobec powyższego Komisja Skarg, Wniosków i Petycji Rady Miejskiej w Barwicach na posiedzeniu w dniu 3 kwietnia 2025 r. po przeprowadzeniu dyskusji i głosowaniu przyjęła opinię dla Rady Miejskiej w Barwicach w formie uchwały o pozostawieniu bez rozpoznania anonimowej skargi z dnia 12 marca 2025 r. na działalność Sołtysa sołectwa Białowąs (5 głosów „za”, 0 głosów „przeciw”, 0 głosów „wstrzymuję się”).</w:t>
      </w:r>
    </w:p>
    <w:p w14:paraId="3873EF56" w14:textId="77777777" w:rsidR="00E517D7" w:rsidRDefault="00000000">
      <w:pPr>
        <w:spacing w:before="120" w:after="120"/>
        <w:ind w:firstLine="227"/>
        <w:rPr>
          <w:szCs w:val="20"/>
        </w:rPr>
      </w:pPr>
      <w:r>
        <w:rPr>
          <w:szCs w:val="20"/>
        </w:rPr>
        <w:t>W świetle powyższego podjęcie przedmiotowej uchwały jest w pełni uzasadnione.</w:t>
      </w:r>
    </w:p>
    <w:p w14:paraId="52B18896" w14:textId="77777777" w:rsidR="00E517D7" w:rsidRDefault="00E517D7">
      <w:pPr>
        <w:spacing w:before="120" w:after="120"/>
        <w:ind w:firstLine="227"/>
        <w:rPr>
          <w:szCs w:val="20"/>
        </w:rPr>
      </w:pPr>
    </w:p>
    <w:p w14:paraId="7FD1D43B" w14:textId="77777777" w:rsidR="00E517D7" w:rsidRDefault="00E517D7">
      <w:pPr>
        <w:spacing w:before="120" w:after="120"/>
        <w:ind w:firstLine="227"/>
        <w:rPr>
          <w:szCs w:val="20"/>
        </w:rPr>
      </w:pPr>
    </w:p>
    <w:p w14:paraId="2FC7D14C" w14:textId="77777777" w:rsidR="00E517D7" w:rsidRDefault="00E517D7">
      <w:pPr>
        <w:spacing w:before="120" w:after="120"/>
        <w:ind w:firstLine="227"/>
        <w:rPr>
          <w:szCs w:val="20"/>
        </w:rPr>
      </w:pPr>
    </w:p>
    <w:p w14:paraId="1FB51FD0" w14:textId="77777777" w:rsidR="00E517D7" w:rsidRDefault="00E517D7">
      <w:pPr>
        <w:spacing w:before="120" w:after="120"/>
        <w:ind w:firstLine="227"/>
        <w:rPr>
          <w:szCs w:val="20"/>
        </w:rPr>
      </w:pPr>
    </w:p>
    <w:p w14:paraId="029221D1" w14:textId="77777777" w:rsidR="00E517D7" w:rsidRDefault="00E517D7">
      <w:pPr>
        <w:spacing w:before="120" w:after="120"/>
        <w:ind w:firstLine="227"/>
        <w:rPr>
          <w:szCs w:val="20"/>
        </w:rPr>
      </w:pPr>
    </w:p>
    <w:p w14:paraId="3B280BB1" w14:textId="77777777" w:rsidR="00E517D7" w:rsidRDefault="00E517D7">
      <w:pPr>
        <w:spacing w:before="120" w:after="120"/>
        <w:ind w:firstLine="227"/>
        <w:rPr>
          <w:szCs w:val="20"/>
        </w:rPr>
      </w:pPr>
    </w:p>
    <w:p w14:paraId="0A556B0F" w14:textId="77777777" w:rsidR="00E517D7" w:rsidRDefault="00E517D7">
      <w:pPr>
        <w:spacing w:before="120" w:after="120"/>
        <w:ind w:firstLine="227"/>
        <w:rPr>
          <w:szCs w:val="20"/>
        </w:rPr>
      </w:pPr>
    </w:p>
    <w:p w14:paraId="09F8DC32" w14:textId="77777777" w:rsidR="00E517D7" w:rsidRDefault="00E517D7">
      <w:pPr>
        <w:spacing w:before="120" w:after="120"/>
        <w:ind w:firstLine="227"/>
        <w:rPr>
          <w:szCs w:val="20"/>
        </w:rPr>
      </w:pPr>
    </w:p>
    <w:p w14:paraId="2B24110E" w14:textId="77777777" w:rsidR="00E517D7" w:rsidRDefault="00E517D7">
      <w:pPr>
        <w:spacing w:before="120" w:after="120"/>
        <w:ind w:firstLine="227"/>
        <w:rPr>
          <w:szCs w:val="20"/>
        </w:rPr>
      </w:pPr>
    </w:p>
    <w:p w14:paraId="21AF03FB" w14:textId="77777777" w:rsidR="00E517D7" w:rsidRDefault="00E517D7">
      <w:pPr>
        <w:spacing w:before="120" w:after="120"/>
        <w:rPr>
          <w:color w:val="000000"/>
          <w:szCs w:val="20"/>
          <w:u w:color="000000"/>
        </w:rPr>
      </w:pPr>
    </w:p>
    <w:sectPr w:rsidR="00E517D7">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3653D8"/>
    <w:rsid w:val="00A77B3E"/>
    <w:rsid w:val="00C936E6"/>
    <w:rsid w:val="00CA2A55"/>
    <w:rsid w:val="00E517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BED8E"/>
  <w15:docId w15:val="{D08E73A3-AEB8-4110-999C-7F9532F4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3336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XIX/114/2025 z dnia 26 czerwca 2025 r.</dc:title>
  <dc:subject>w sprawie pozostawienia skargi bez rozpoznania</dc:subject>
  <dc:creator>Lorkiewicz_J</dc:creator>
  <cp:lastModifiedBy>Justyna Lorkiewicz</cp:lastModifiedBy>
  <cp:revision>2</cp:revision>
  <dcterms:created xsi:type="dcterms:W3CDTF">2025-06-27T07:47:00Z</dcterms:created>
  <dcterms:modified xsi:type="dcterms:W3CDTF">2025-06-27T07:47:00Z</dcterms:modified>
  <cp:category>Akt prawny</cp:category>
</cp:coreProperties>
</file>