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BCD3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XVI/103/2025</w:t>
      </w:r>
      <w:r>
        <w:rPr>
          <w:b/>
          <w:caps/>
        </w:rPr>
        <w:br/>
        <w:t>Rady Miejskiej w Barwicach</w:t>
      </w:r>
    </w:p>
    <w:p w14:paraId="056BB38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0FD437DD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2025-2032</w:t>
      </w:r>
    </w:p>
    <w:p w14:paraId="5B6FD4A1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</w:t>
      </w:r>
      <w:proofErr w:type="spellStart"/>
      <w:r>
        <w:t>t.j</w:t>
      </w:r>
      <w:proofErr w:type="spellEnd"/>
      <w:r>
        <w:t>. Dz. U. z 2024 r. poz. 1530 z </w:t>
      </w:r>
      <w:proofErr w:type="spellStart"/>
      <w:r>
        <w:t>późn</w:t>
      </w:r>
      <w:proofErr w:type="spellEnd"/>
      <w:r>
        <w:t>. zm.) uchwala się co następuje:</w:t>
      </w:r>
    </w:p>
    <w:p w14:paraId="6C3CF8E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XII/66/2024 Rady Miejskiej w Barwicach z dnia 30.12.2024 r. w sprawie Wieloletniej Prognozy Finansowej Gminy Barwice na lata 2025-2032 z </w:t>
      </w:r>
      <w:proofErr w:type="spellStart"/>
      <w:r>
        <w:t>późn</w:t>
      </w:r>
      <w:proofErr w:type="spellEnd"/>
      <w:r>
        <w:t>. zmianami wprowadza się następujące zmiany:</w:t>
      </w:r>
    </w:p>
    <w:p w14:paraId="7A26B77F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2025-2032 otrzymuje brzmienie załącznika nr 1 do uchwały;</w:t>
      </w:r>
    </w:p>
    <w:p w14:paraId="3A5A78DA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3BDB0475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5C46DE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5CD51C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0C81245" w14:textId="77777777" w:rsidR="00A77B3E" w:rsidRDefault="00A77B3E">
      <w:pPr>
        <w:keepNext/>
        <w:keepLines/>
        <w:spacing w:before="120" w:after="120"/>
        <w:ind w:firstLine="340"/>
      </w:pPr>
    </w:p>
    <w:p w14:paraId="2671B10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02000" w14:paraId="2A49C7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A0B905" w14:textId="77777777" w:rsidR="00402000" w:rsidRDefault="004020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E6FB77" w14:textId="77777777" w:rsidR="0040200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B75114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5244808" w14:textId="2532EB0C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XVI/103/2025</w:t>
      </w:r>
      <w:r>
        <w:br/>
        <w:t>Rady Miejskiej w Barwicach</w:t>
      </w:r>
      <w:r>
        <w:br/>
        <w:t>z dnia 28 kwietnia 2025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5BEC04CA" w14:textId="43BE6EE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XVI/103/2025</w:t>
      </w:r>
      <w:r>
        <w:br/>
        <w:t>Rady Miejskiej w Barwicach</w:t>
      </w:r>
      <w:r>
        <w:br/>
        <w:t>z dnia 28 kwietnia 2025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0880A7D5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AB33FD0" w14:textId="74AB8485" w:rsidR="00402000" w:rsidRDefault="004D6B1D" w:rsidP="004D6B1D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 w:line="360" w:lineRule="auto"/>
        <w:jc w:val="right"/>
        <w:rPr>
          <w:rFonts w:ascii="Arial" w:hAnsi="Arial"/>
          <w:b/>
          <w:sz w:val="20"/>
          <w:szCs w:val="20"/>
          <w:lang w:eastAsia="en-US" w:bidi="ar-SA"/>
        </w:rPr>
      </w:pPr>
      <w:r>
        <w:lastRenderedPageBreak/>
        <w:t xml:space="preserve">Załącznik Nr </w:t>
      </w:r>
      <w:r>
        <w:t>3</w:t>
      </w:r>
      <w:r>
        <w:t xml:space="preserve"> do uchwały Nr XVI/103/2025</w:t>
      </w:r>
      <w:r>
        <w:br/>
        <w:t>Rady Miejskiej w Barwicach</w:t>
      </w:r>
      <w:r>
        <w:br/>
        <w:t>z dnia 28 kwietnia 2025 r.</w:t>
      </w:r>
      <w:r>
        <w:br/>
      </w:r>
    </w:p>
    <w:p w14:paraId="59A3F98F" w14:textId="77777777" w:rsidR="00402000" w:rsidRDefault="00402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02A9CB7A" w14:textId="77777777" w:rsidR="00402000" w:rsidRDefault="00402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46EFC9B5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2025-2032</w:t>
      </w:r>
    </w:p>
    <w:p w14:paraId="7819FC0B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28 kwietnia 2025 r., dokonano następujących zmian w Wieloletniej Prognozie Finansowej Gminy Barwice:</w:t>
      </w:r>
    </w:p>
    <w:p w14:paraId="17E73A4B" w14:textId="77777777" w:rsidR="00402000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zwiększono o 1 458 840,76 zł, z czego dochody bieżące zwiększono o 1 311 215,76 zł, a dochody majątkowe zwiększono o 147 625,00 zł.</w:t>
      </w:r>
    </w:p>
    <w:p w14:paraId="1CB4124F" w14:textId="77777777" w:rsidR="00402000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zwiększono o 1 939 389,10 zł, z czego wydatki bieżące zwiększono o 1 421 164,13 zł, a wydatki majątkowe zwiększono o 518 224,97 zł.</w:t>
      </w:r>
    </w:p>
    <w:p w14:paraId="432F29FB" w14:textId="77777777" w:rsidR="00402000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jest deficytowy i po zmianach wynosi -365 818,34 zł.</w:t>
      </w:r>
    </w:p>
    <w:p w14:paraId="036A4E64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204DFB64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dochodach i wydatkach w 2025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025848B9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F37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B2D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BC7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FD9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5605DEE8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A3E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54F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76 271 299,98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8C1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+1 458 840,76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EC7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77 730 140,74</w:t>
            </w:r>
          </w:p>
        </w:tc>
      </w:tr>
      <w:tr w:rsidR="00402000" w14:paraId="0CCD5A08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5B4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62F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52 278 431,49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BC6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+1 311 215,76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96D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53 589 647,25</w:t>
            </w:r>
          </w:p>
        </w:tc>
      </w:tr>
      <w:tr w:rsidR="00402000" w14:paraId="7645CEB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8BC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Subwencja ogólna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CF0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12 053 232,00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0E3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+115 385,00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237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12 168 617,00</w:t>
            </w:r>
          </w:p>
        </w:tc>
      </w:tr>
      <w:tr w:rsidR="00402000" w14:paraId="2FB0C6F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177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700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9 055 749,49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02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+1 143 832,45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2FA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10 199 581,94</w:t>
            </w:r>
          </w:p>
        </w:tc>
      </w:tr>
      <w:tr w:rsidR="00402000" w14:paraId="55B57D5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66F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FF6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14 011 525,00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A95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+51 998,31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852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14 063 523,31</w:t>
            </w:r>
          </w:p>
        </w:tc>
      </w:tr>
      <w:tr w:rsidR="00402000" w14:paraId="65CBF4C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1C1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768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23 992 868,49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F0E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+147 625,00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B70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24 140 493,49</w:t>
            </w:r>
          </w:p>
        </w:tc>
      </w:tr>
      <w:tr w:rsidR="00402000" w14:paraId="528129B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DFE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FBC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76 156 569,98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F15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+1 939 389,10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0C8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78 095 959,08</w:t>
            </w:r>
          </w:p>
        </w:tc>
      </w:tr>
      <w:tr w:rsidR="00402000" w14:paraId="3E37253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9AA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143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50 990 156,12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5F6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+1 421 164,13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2CA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52 411 320,25</w:t>
            </w:r>
          </w:p>
        </w:tc>
      </w:tr>
      <w:tr w:rsidR="00402000" w14:paraId="75EB149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7B7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2E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21 722 727,78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FED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+529 212,26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AEC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22 251 940,04</w:t>
            </w:r>
          </w:p>
        </w:tc>
      </w:tr>
      <w:tr w:rsidR="00402000" w14:paraId="5B7EB25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6C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998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28 721 852,34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B9F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+891 951,87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5F3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29 613 804,21</w:t>
            </w:r>
          </w:p>
        </w:tc>
      </w:tr>
      <w:tr w:rsidR="00402000" w14:paraId="456786B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AD4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A30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25 166 413,86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2C8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+518 224,97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B02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25 684 638,83</w:t>
            </w:r>
          </w:p>
        </w:tc>
      </w:tr>
      <w:tr w:rsidR="00402000" w14:paraId="673B46E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A77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Wynik budżetu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AA3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114 730,00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EBD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-480 548,34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260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-365 818,34</w:t>
            </w:r>
          </w:p>
        </w:tc>
      </w:tr>
    </w:tbl>
    <w:p w14:paraId="681C4238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1F254107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okresie prognozy WPF dokonano zmian w zakresie planowanych dochodów bieżących i majątkowych. Zmiany przedstawiono w tabelach poniżej.</w:t>
      </w:r>
    </w:p>
    <w:p w14:paraId="733C657C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dochodach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45AA0128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2BD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048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3B8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D3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7260E4AB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26D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A84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55 986 347,00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58A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+15 206,67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B71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56 001 553,67</w:t>
            </w:r>
          </w:p>
        </w:tc>
      </w:tr>
    </w:tbl>
    <w:p w14:paraId="0A316E1C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2559D08F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dochodach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064753C0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D41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586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D7D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F41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628AC08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8DD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626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7 501 736,15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D54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+179 120,00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CAE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7 680 856,15</w:t>
            </w:r>
          </w:p>
        </w:tc>
      </w:tr>
      <w:tr w:rsidR="00402000" w14:paraId="2DC4DD2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2AE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lastRenderedPageBreak/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9F4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3 395 191,93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66C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+1 014 253,97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AA8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4 409 445,90</w:t>
            </w:r>
          </w:p>
        </w:tc>
      </w:tr>
    </w:tbl>
    <w:p w14:paraId="7464BCD0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57AC78BD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okresie prognozy WPF dokonano zmian w zakresie planowanych wydatków bieżących i majątkowych. Zmiany przedstawiono w tabelach poniżej.</w:t>
      </w:r>
    </w:p>
    <w:p w14:paraId="0EA0CA32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wydatkach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05DBBC66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AA5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C51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E18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2B3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4657CFC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447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221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54 007 509,00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918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+15 206,67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FB4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54 022 715,67</w:t>
            </w:r>
          </w:p>
        </w:tc>
      </w:tr>
    </w:tbl>
    <w:p w14:paraId="31CBDDF7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50F152F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wydatkach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0FDDE049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9EB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A90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1D2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301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3057D4E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F76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50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8 580 498,15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757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+179 120,00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58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8 759 618,15</w:t>
            </w:r>
          </w:p>
        </w:tc>
      </w:tr>
      <w:tr w:rsidR="00402000" w14:paraId="59A08052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03C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823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4 490 697,93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B73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+1 014 253,97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A1C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5 504 951,90</w:t>
            </w:r>
          </w:p>
        </w:tc>
      </w:tr>
    </w:tbl>
    <w:p w14:paraId="7D67A978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CDD5F13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239526C2" w14:textId="77777777" w:rsidR="00402000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zwiększono o 480 548,34 zł i po zmianach wynoszą 1 134 150,34 zł.</w:t>
      </w:r>
    </w:p>
    <w:p w14:paraId="2BFCA590" w14:textId="77777777" w:rsidR="00402000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16684AEC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przychodów i rozchodów w roku budżetowym przedstawiono w tabeli poniżej.</w:t>
      </w:r>
    </w:p>
    <w:p w14:paraId="3A0F0FC2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przychodach i rozchodach na 2025 rok.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39412D22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5F0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F89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891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DF1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53DCF68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43D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Przychody budżetu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B52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653 602,00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3A0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+480 548,34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47B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1 134 150,34</w:t>
            </w:r>
          </w:p>
        </w:tc>
      </w:tr>
      <w:tr w:rsidR="00402000" w14:paraId="5ADD9CD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F08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Wolne środki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A0E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653 602,00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44F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+480 548,34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16E3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1 134 150,34</w:t>
            </w:r>
          </w:p>
        </w:tc>
      </w:tr>
    </w:tbl>
    <w:p w14:paraId="02D645FD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147ADA2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przychodów.</w:t>
      </w:r>
    </w:p>
    <w:p w14:paraId="65DD1EEE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rozchodów.</w:t>
      </w:r>
    </w:p>
    <w:p w14:paraId="6EF883C6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4EE431AC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402000" w14:paraId="7E32EFCC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7F4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BBC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402000" w14:paraId="5A3CD864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66E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DD0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402000" w14:paraId="43C9636D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617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37E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402000" w14:paraId="522354AD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2EC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7A0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402000" w14:paraId="26C8CD4F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424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221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402000" w14:paraId="55077E5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1A6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BEE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402000" w14:paraId="55393FEF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9DC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9A0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402000" w14:paraId="165B67A2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86A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509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402000" w14:paraId="6B85622E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5CD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47C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</w:tbl>
    <w:p w14:paraId="77146F53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65FFC3A7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2025-2032 spowodowały modyfikacje w kształtowaniu się relacji z art. 243 ustawy o finansach publicznych. Szczegóły zaprezentowano w tabeli poniżej.</w:t>
      </w:r>
    </w:p>
    <w:p w14:paraId="2001CB4A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402000" w14:paraId="03808424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A5C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CF1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wyłączeniach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6B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671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B98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CE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402000" w14:paraId="458A56AD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1AB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BCD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3,05%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6BC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7,96%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809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1B4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7,32%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91F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5DC79BEA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F46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E1A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2,79%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68C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7,59%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D70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635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7,31%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D53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726422E3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4B8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6CF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2,53%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CB7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D4B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62F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7,49%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CD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72FB3C8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4D1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163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2,17%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EBD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6,94%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0D4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B1A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6,66%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A22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505ADC9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49B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7AF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1,86%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651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6,04%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4F9D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2A9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5,76%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42D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0B8B0D1B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8C6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916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1,72%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0C0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4,96%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67E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9A7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410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5F04927A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6A9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51D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2,34%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314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5,22%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27C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6A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4,95%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68E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402000" w14:paraId="1B90016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385F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7D7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2,66%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EA3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317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FC5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8CB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7E938E3B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DC47341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30.09.2024 r. jak i w oparciu o dane z wykonania budżetu.</w:t>
      </w:r>
    </w:p>
    <w:p w14:paraId="74866E56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6443BE78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 załącznika przedsięwzięć dodano następujące przedsięwzięcia:</w:t>
      </w:r>
    </w:p>
    <w:p w14:paraId="15EEEAB9" w14:textId="77777777" w:rsidR="00402000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Mała retencja w gminach dorzecza Parsęty – zadanie bieżące, które ma być realizowane w latach 2025-2027. Łączne nakłady planowane na realizację zadania wynoszą 23 786,70 zł, w tym w 2025 r. ‒ 9 514,68 zł. Limit zobowiązań dla zadania wynosi 23 786,70 zł. Jednostką realizującą jest URZĄD MIEJSKI W BARWICACH.</w:t>
      </w:r>
    </w:p>
    <w:p w14:paraId="09AF689E" w14:textId="77777777" w:rsidR="00402000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Stworzenie mieszkania wspomaganego w Gminie Barwice – zadanie bieżące, które ma być realizowane w latach 2025-2028. Łączne nakłady planowane na realizację zadania wynoszą 1 000 744,75 zł, w tym w 2025 r. ‒ 503 144,75 zł. Limit zobowiązań dla zadania wynosi 1 000 744,75 zł. Jednostką realizującą jest MIEJSKO-GMINNY OŚRODEK POMOCY SPOŁECZNEJ.</w:t>
      </w:r>
    </w:p>
    <w:p w14:paraId="294D2BB9" w14:textId="77777777" w:rsidR="00402000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Mała retencja w gminach dorzecza Parsęty – zadanie majątkowe, które ma być realizowane w latach 2025-2027. Łączne nakłady planowane na realizację zadania wynoszą 905 992,53 zł, w tym w 2025 r. ‒ 115 680,19 zł. Limit zobowiązań dla zadania wynosi 905 992,53 zł. Jednostką realizującą jest URZĄD MIEJSKI W BARWICACH.</w:t>
      </w:r>
    </w:p>
    <w:p w14:paraId="10932623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Dokonano zmian w zakresie następujących przedsięwzięć:</w:t>
      </w:r>
    </w:p>
    <w:p w14:paraId="782ABC97" w14:textId="77777777" w:rsidR="00402000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innych (finansowanych ze środków krajowych):</w:t>
      </w:r>
    </w:p>
    <w:p w14:paraId="1A91EFAF" w14:textId="77777777" w:rsidR="00402000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 xml:space="preserve">Budowa </w:t>
      </w:r>
      <w:proofErr w:type="spellStart"/>
      <w:r>
        <w:rPr>
          <w:rFonts w:ascii="Arial" w:hAnsi="Arial"/>
          <w:sz w:val="20"/>
          <w:szCs w:val="20"/>
          <w:lang w:eastAsia="en-US" w:bidi="ar-SA"/>
        </w:rPr>
        <w:t>skateparku</w:t>
      </w:r>
      <w:proofErr w:type="spellEnd"/>
      <w:r>
        <w:rPr>
          <w:rFonts w:ascii="Arial" w:hAnsi="Arial"/>
          <w:sz w:val="20"/>
          <w:szCs w:val="20"/>
          <w:lang w:eastAsia="en-US" w:bidi="ar-SA"/>
        </w:rPr>
        <w:t xml:space="preserve"> przy ul. Wiśniowej w Barwicach – zmiana w przedsięwzięciu obejmuje m.in.:</w:t>
      </w:r>
    </w:p>
    <w:p w14:paraId="6BA4C5BE" w14:textId="77777777" w:rsidR="00402000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limitu zobowiązań oraz limitu wydatków na realizację zadania w roku budżetowym o kwotę 15 893,78 zł.</w:t>
      </w:r>
    </w:p>
    <w:p w14:paraId="2B42FA91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43935FEC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10.1.1 i 10.1.2 WPF, co przedstawiono w tabelach poniżej.</w:t>
      </w:r>
    </w:p>
    <w:p w14:paraId="07D3B302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Zmiany w wydatkach bieżących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2BF53D8C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182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CA5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13F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CD7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783B140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E11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7F1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1 210 570,00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E32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+512 659,43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5AA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1 723 229,43</w:t>
            </w:r>
          </w:p>
        </w:tc>
      </w:tr>
      <w:tr w:rsidR="00402000" w14:paraId="26CB456F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313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57A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810 570,00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919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+229 914,68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F5E6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1 040 484,68</w:t>
            </w:r>
          </w:p>
        </w:tc>
      </w:tr>
      <w:tr w:rsidR="00402000" w14:paraId="50A431B2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74B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401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8C7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+275 157,34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AB52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275 157,34</w:t>
            </w:r>
          </w:p>
        </w:tc>
      </w:tr>
      <w:tr w:rsidR="00402000" w14:paraId="66888EF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496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3EF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82EB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+6 800,00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59E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6 800,00</w:t>
            </w:r>
          </w:p>
        </w:tc>
      </w:tr>
    </w:tbl>
    <w:p w14:paraId="1FE08AFF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4410B24" w14:textId="77777777" w:rsidR="00402000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02000" w14:paraId="7DFE1211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27E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1811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0D87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ED9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402000" w14:paraId="486D44B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0513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56C9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24 736 413,86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2F4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+131 573,97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14A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24 867 987,83</w:t>
            </w:r>
          </w:p>
        </w:tc>
      </w:tr>
      <w:tr w:rsidR="00402000" w14:paraId="7F569B1F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694A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0DE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8 064 148,60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3954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+395 156,17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2B80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8 459 304,77</w:t>
            </w:r>
          </w:p>
        </w:tc>
      </w:tr>
      <w:tr w:rsidR="00402000" w14:paraId="21CA7B1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FB5C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BF15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3 038 497,34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471E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+395 156,17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3678" w14:textId="77777777" w:rsidR="00402000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3 433 653,51</w:t>
            </w:r>
          </w:p>
        </w:tc>
      </w:tr>
    </w:tbl>
    <w:p w14:paraId="6FE06DCD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FE152E1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52352986" w14:textId="77777777" w:rsidR="00402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5C86E4D3" w14:textId="77777777" w:rsidR="00402000" w:rsidRDefault="0040200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</w:p>
    <w:p w14:paraId="3E05691D" w14:textId="77777777" w:rsidR="00402000" w:rsidRDefault="00000000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fldChar w:fldCharType="begin"/>
      </w:r>
      <w:r>
        <w:rPr>
          <w:rFonts w:ascii="Calibri" w:hAnsi="Calibri"/>
          <w:szCs w:val="20"/>
          <w:lang w:eastAsia="en-US" w:bidi="ar-SA"/>
        </w:rPr>
        <w:fldChar w:fldCharType="separate"/>
      </w:r>
      <w:r>
        <w:rPr>
          <w:rFonts w:ascii="Calibri" w:hAnsi="Calibri"/>
          <w:szCs w:val="20"/>
          <w:lang w:eastAsia="en-US" w:bidi="ar-SA"/>
        </w:rPr>
        <w:fldChar w:fldCharType="end"/>
      </w:r>
    </w:p>
    <w:sectPr w:rsidR="00402000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1659189901">
    <w:abstractNumId w:val="0"/>
  </w:num>
  <w:num w:numId="2" w16cid:durableId="1402798166">
    <w:abstractNumId w:val="1"/>
  </w:num>
  <w:num w:numId="3" w16cid:durableId="643968998">
    <w:abstractNumId w:val="2"/>
  </w:num>
  <w:num w:numId="4" w16cid:durableId="4436201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422E"/>
    <w:rsid w:val="00402000"/>
    <w:rsid w:val="004D6B1D"/>
    <w:rsid w:val="008D4DBD"/>
    <w:rsid w:val="009744C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3D799"/>
  <w15:docId w15:val="{EBBC3983-2D3B-4EC6-8FDB-1D9BF2C23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53FE4313-CBA1-427F-AEB6-B29931979CF6\Zalacznik2.pdf" TargetMode="External"/><Relationship Id="rId5" Type="http://schemas.openxmlformats.org/officeDocument/2006/relationships/hyperlink" Target="file:///C:\Users\Kartarzyna%20Git\AppData\Local\Temp\Legislator\53FE4313-CBA1-427F-AEB6-B29931979CF6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1328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XVI/103/2025 z dnia 28 kwietnia 2025 r.</dc:title>
  <dc:subject>w sprawie uchwalenia zmiany wieloletniej prognozy finansowej Gminy Barwice na lata 2025-2032</dc:subject>
  <dc:creator>Lorkiewicz_J</dc:creator>
  <cp:lastModifiedBy>Justyna Lorkiewicz</cp:lastModifiedBy>
  <cp:revision>3</cp:revision>
  <dcterms:created xsi:type="dcterms:W3CDTF">2025-04-28T09:48:00Z</dcterms:created>
  <dcterms:modified xsi:type="dcterms:W3CDTF">2025-04-28T10:30:00Z</dcterms:modified>
  <cp:category>Akt prawny</cp:category>
</cp:coreProperties>
</file>