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565D22B9" w:rsidR="000E2DBD" w:rsidRDefault="00CF148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2D97" w14:textId="6E886BF1" w:rsidR="0088681F" w:rsidRDefault="00CF148D" w:rsidP="0088681F">
            <w:pPr>
              <w:pStyle w:val="Textbody"/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  <w:sz w:val="24"/>
                <w:szCs w:val="24"/>
                <w:lang w:bidi="hi-IN"/>
              </w:rPr>
              <w:t>Decyzja przenosząca decyzję o środowiskowych uwarunkowaniach</w:t>
            </w:r>
          </w:p>
          <w:p w14:paraId="4D97990A" w14:textId="77777777" w:rsidR="000E2DBD" w:rsidRDefault="000E2DBD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048144CD" w:rsidR="000E2DBD" w:rsidRPr="00EA78E8" w:rsidRDefault="00CF148D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Budowa farmy fotowoltaicznej o mocy do 10 MW wraz z niezbędną infrastrukturą techniczną na działce nr ewidencyjny 154/6 obręb Ostropole, gmina Barwice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7E231D53" w:rsidR="000E2DBD" w:rsidRDefault="00CF148D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>
              <w:rPr>
                <w:rFonts w:cs="Tahoma"/>
                <w:b/>
                <w:bCs/>
                <w:sz w:val="24"/>
                <w:szCs w:val="24"/>
              </w:rPr>
              <w:t>decyzja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49E29B17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</w:t>
            </w:r>
            <w:r w:rsidR="00CF148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03</w:t>
            </w: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CF148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</w:p>
        </w:tc>
      </w:tr>
      <w:tr w:rsidR="000E2DBD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0BC7" w14:textId="225E6CE4" w:rsidR="000E2DBD" w:rsidRDefault="00EA78E8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56734396" w:rsidR="000E2DBD" w:rsidRDefault="00CF148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25.03.2025 r.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64142BF3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F2E8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EA78E8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183D9F"/>
    <w:rsid w:val="0037064C"/>
    <w:rsid w:val="004A2442"/>
    <w:rsid w:val="005055C3"/>
    <w:rsid w:val="005B3D01"/>
    <w:rsid w:val="008333BE"/>
    <w:rsid w:val="0088681F"/>
    <w:rsid w:val="00906DDD"/>
    <w:rsid w:val="00BF2E86"/>
    <w:rsid w:val="00C51E51"/>
    <w:rsid w:val="00CF148D"/>
    <w:rsid w:val="00EA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7</cp:revision>
  <dcterms:created xsi:type="dcterms:W3CDTF">2025-04-14T09:57:00Z</dcterms:created>
  <dcterms:modified xsi:type="dcterms:W3CDTF">2025-04-24T05:46:00Z</dcterms:modified>
</cp:coreProperties>
</file>