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6259C4" w14:textId="77777777" w:rsidR="00A77B3E" w:rsidRDefault="00A77B3E">
      <w:pPr>
        <w:ind w:left="5669"/>
        <w:jc w:val="right"/>
        <w:rPr>
          <w:b/>
          <w:i/>
          <w:sz w:val="20"/>
          <w:u w:val="thick"/>
        </w:rPr>
      </w:pPr>
    </w:p>
    <w:p w14:paraId="341A7804" w14:textId="77777777" w:rsidR="00D649C0" w:rsidRDefault="00D649C0">
      <w:pPr>
        <w:ind w:left="5669"/>
        <w:jc w:val="right"/>
      </w:pPr>
    </w:p>
    <w:p w14:paraId="767AF3B0" w14:textId="77777777" w:rsidR="00D649C0" w:rsidRDefault="00000000">
      <w:pPr>
        <w:jc w:val="center"/>
        <w:rPr>
          <w:b/>
          <w:caps/>
        </w:rPr>
      </w:pPr>
      <w:r>
        <w:rPr>
          <w:b/>
          <w:caps/>
        </w:rPr>
        <w:t>Zarządzenie Nr 36/2025</w:t>
      </w:r>
      <w:r>
        <w:rPr>
          <w:b/>
          <w:caps/>
        </w:rPr>
        <w:br/>
        <w:t>Burmistrza Barwic</w:t>
      </w:r>
    </w:p>
    <w:p w14:paraId="65E396A7" w14:textId="77777777" w:rsidR="00D649C0" w:rsidRDefault="00000000">
      <w:pPr>
        <w:spacing w:before="280" w:after="280"/>
        <w:jc w:val="center"/>
        <w:rPr>
          <w:b/>
          <w:caps/>
        </w:rPr>
      </w:pPr>
      <w:r>
        <w:t>z dnia 3 marca 2025 r.</w:t>
      </w:r>
    </w:p>
    <w:p w14:paraId="67177E46" w14:textId="77777777" w:rsidR="00D649C0" w:rsidRDefault="00000000">
      <w:pPr>
        <w:keepNext/>
        <w:spacing w:after="480"/>
        <w:jc w:val="center"/>
      </w:pPr>
      <w:r>
        <w:rPr>
          <w:b/>
        </w:rPr>
        <w:t>w sprawie wprowadzenia Procedur kontroli zarządczej</w:t>
      </w:r>
    </w:p>
    <w:p w14:paraId="0B543C11" w14:textId="77777777" w:rsidR="00D649C0" w:rsidRDefault="00000000">
      <w:pPr>
        <w:keepLines/>
        <w:spacing w:before="120" w:after="120"/>
        <w:ind w:firstLine="227"/>
      </w:pPr>
      <w:r>
        <w:t>Na podstawie ustawy z dnia 27 sierpnia 2009 roku o finansach publicznych (Dz.U. 2024 poz. 1530 z </w:t>
      </w:r>
      <w:proofErr w:type="spellStart"/>
      <w:r>
        <w:t>późn</w:t>
      </w:r>
      <w:proofErr w:type="spellEnd"/>
      <w:r>
        <w:t>. zm.), ustawy z dnia 21 listopada 2008 roku o pracownikach samorządowych (Dz.U. 2024 poz. 1135) oraz w oparciu o Standardy kontroli zarządczej dla sektora finansów publicznych określone w Komunikacie Nr 23 Ministra Finansów Publicznych z dnia 16 grudnia 2009 roku w sprawie standardów kontroli zarządczej dla sektora finansów publicznych (Dz. Urz. MF Nr 15, poz. 84), zarządza się, co następuje:</w:t>
      </w:r>
    </w:p>
    <w:p w14:paraId="39911C96" w14:textId="5BEA8C3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Celem zapewnienia funkcjonowania adekwatnej i efektywnej kontroli zarządczej </w:t>
      </w:r>
      <w:r w:rsidR="001A15F2">
        <w:t xml:space="preserve">wprowadza się </w:t>
      </w:r>
      <w:r>
        <w:rPr>
          <w:b/>
          <w:color w:val="000000"/>
          <w:u w:color="000000"/>
        </w:rPr>
        <w:t>Procedur</w:t>
      </w:r>
      <w:r w:rsidR="001A15F2">
        <w:rPr>
          <w:b/>
          <w:color w:val="000000"/>
          <w:u w:color="000000"/>
        </w:rPr>
        <w:t>y</w:t>
      </w:r>
      <w:r>
        <w:rPr>
          <w:b/>
          <w:color w:val="000000"/>
          <w:u w:color="000000"/>
        </w:rPr>
        <w:t xml:space="preserve"> kontroli zarządczej w Urzędzie Miejskim w Barwicach </w:t>
      </w:r>
      <w:r>
        <w:rPr>
          <w:color w:val="000000"/>
          <w:u w:color="000000"/>
        </w:rPr>
        <w:t>w brzmieniu określonym w załączniku nr 1 do niniejszego zarządzenia.</w:t>
      </w:r>
    </w:p>
    <w:p w14:paraId="0F027A1E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Wzór oświadczenia o zapoznaniu się z </w:t>
      </w:r>
      <w:r>
        <w:rPr>
          <w:b/>
          <w:color w:val="000000"/>
          <w:u w:color="000000"/>
        </w:rPr>
        <w:t xml:space="preserve">Procedurami kontroli zarządczej w Urzędzie Miejskim w Barwicach </w:t>
      </w:r>
      <w:r>
        <w:rPr>
          <w:color w:val="000000"/>
          <w:u w:color="000000"/>
        </w:rPr>
        <w:t>stanowi załącznik nr 1 do ww. dokumentu</w:t>
      </w:r>
    </w:p>
    <w:p w14:paraId="5136090A" w14:textId="77777777" w:rsidR="00346AAF" w:rsidRDefault="00000000" w:rsidP="00346AA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Traci moc Zarządzenie Nr 106/2012 z dnia 27.03.2012 roku w sprawie Zasad kontroli zarządczej w Urzędzie Miejskim w Barwicach.</w:t>
      </w:r>
    </w:p>
    <w:p w14:paraId="55685DBC" w14:textId="70EFEE2B" w:rsidR="00346AAF" w:rsidRDefault="00000000" w:rsidP="00346AA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</w:t>
      </w:r>
      <w:r w:rsidR="00346AAF">
        <w:rPr>
          <w:color w:val="000000"/>
          <w:u w:color="000000"/>
        </w:rPr>
        <w:t xml:space="preserve"> wchodzi w życie z dniem podjęcia.</w:t>
      </w:r>
    </w:p>
    <w:p w14:paraId="31462793" w14:textId="77777777" w:rsidR="00346AAF" w:rsidRDefault="00346AAF" w:rsidP="00346AAF">
      <w:pPr>
        <w:keepLines/>
        <w:spacing w:before="120" w:after="120"/>
        <w:ind w:firstLine="340"/>
        <w:rPr>
          <w:color w:val="000000"/>
          <w:u w:color="000000"/>
        </w:rPr>
      </w:pPr>
    </w:p>
    <w:p w14:paraId="37ED995C" w14:textId="77777777" w:rsidR="00346AAF" w:rsidRDefault="00346AAF" w:rsidP="00346AAF">
      <w:pPr>
        <w:keepLines/>
        <w:spacing w:before="120" w:after="120"/>
        <w:ind w:firstLine="340"/>
        <w:rPr>
          <w:color w:val="000000"/>
          <w:u w:color="000000"/>
        </w:rPr>
      </w:pPr>
    </w:p>
    <w:p w14:paraId="6238F6DB" w14:textId="77777777" w:rsidR="00346AAF" w:rsidRDefault="00346AAF" w:rsidP="00346AAF">
      <w:pPr>
        <w:keepLines/>
        <w:spacing w:before="120" w:after="120"/>
        <w:ind w:firstLine="340"/>
        <w:rPr>
          <w:color w:val="000000"/>
          <w:u w:color="000000"/>
        </w:rPr>
      </w:pPr>
    </w:p>
    <w:p w14:paraId="7A71C872" w14:textId="77777777" w:rsidR="00346AAF" w:rsidRDefault="00346AAF" w:rsidP="00346AAF">
      <w:pPr>
        <w:keepLines/>
        <w:spacing w:before="120" w:after="120"/>
        <w:ind w:firstLine="340"/>
        <w:rPr>
          <w:color w:val="000000"/>
          <w:u w:color="000000"/>
        </w:rPr>
      </w:pPr>
    </w:p>
    <w:p w14:paraId="462E7F2A" w14:textId="77777777" w:rsidR="00346AAF" w:rsidRDefault="00346AAF" w:rsidP="00346AAF">
      <w:pPr>
        <w:keepLines/>
        <w:spacing w:before="120" w:after="120"/>
        <w:ind w:firstLine="340"/>
        <w:rPr>
          <w:color w:val="000000"/>
          <w:u w:color="000000"/>
        </w:rPr>
      </w:pPr>
    </w:p>
    <w:p w14:paraId="7976E55A" w14:textId="77777777" w:rsidR="00346AAF" w:rsidRDefault="00346AAF" w:rsidP="00346AAF">
      <w:pPr>
        <w:keepLines/>
        <w:spacing w:before="120" w:after="120"/>
        <w:ind w:firstLine="340"/>
        <w:rPr>
          <w:color w:val="000000"/>
          <w:u w:color="000000"/>
        </w:rPr>
      </w:pPr>
    </w:p>
    <w:p w14:paraId="61E9361E" w14:textId="77777777" w:rsidR="00346AAF" w:rsidRDefault="00346AAF" w:rsidP="00346AAF">
      <w:pPr>
        <w:keepLines/>
        <w:spacing w:before="120" w:after="120"/>
        <w:ind w:firstLine="340"/>
        <w:rPr>
          <w:color w:val="000000"/>
          <w:u w:color="000000"/>
        </w:rPr>
      </w:pPr>
    </w:p>
    <w:p w14:paraId="5A99612B" w14:textId="77777777" w:rsidR="00346AAF" w:rsidRDefault="00346AAF" w:rsidP="00346AAF">
      <w:pPr>
        <w:keepLines/>
        <w:spacing w:before="120" w:after="120"/>
        <w:ind w:firstLine="340"/>
        <w:rPr>
          <w:color w:val="000000"/>
          <w:u w:color="000000"/>
        </w:rPr>
      </w:pPr>
    </w:p>
    <w:p w14:paraId="0C6C871F" w14:textId="77777777" w:rsidR="00346AAF" w:rsidRDefault="00346AAF" w:rsidP="00346AAF">
      <w:pPr>
        <w:keepLines/>
        <w:spacing w:before="120" w:after="120"/>
        <w:ind w:firstLine="340"/>
        <w:rPr>
          <w:color w:val="000000"/>
          <w:u w:color="000000"/>
        </w:rPr>
      </w:pPr>
    </w:p>
    <w:p w14:paraId="1C4A8823" w14:textId="77777777" w:rsidR="00346AAF" w:rsidRDefault="00346AAF" w:rsidP="00346AAF">
      <w:pPr>
        <w:keepLines/>
        <w:spacing w:before="120" w:after="120"/>
        <w:ind w:firstLine="340"/>
        <w:rPr>
          <w:color w:val="000000"/>
          <w:u w:color="000000"/>
        </w:rPr>
      </w:pPr>
    </w:p>
    <w:p w14:paraId="5306D238" w14:textId="77777777" w:rsidR="00346AAF" w:rsidRDefault="00346AAF" w:rsidP="00346AAF">
      <w:pPr>
        <w:keepLines/>
        <w:spacing w:before="120" w:after="120"/>
        <w:ind w:firstLine="340"/>
        <w:rPr>
          <w:color w:val="000000"/>
          <w:u w:color="000000"/>
        </w:rPr>
      </w:pPr>
    </w:p>
    <w:p w14:paraId="7ECC171B" w14:textId="77777777" w:rsidR="00346AAF" w:rsidRDefault="00346AAF" w:rsidP="00346AAF">
      <w:pPr>
        <w:keepLines/>
        <w:spacing w:before="120" w:after="120"/>
        <w:ind w:firstLine="340"/>
        <w:rPr>
          <w:color w:val="000000"/>
          <w:u w:color="000000"/>
        </w:rPr>
      </w:pPr>
    </w:p>
    <w:p w14:paraId="5DA41FCC" w14:textId="77777777" w:rsidR="00346AAF" w:rsidRDefault="00346AAF" w:rsidP="00346AAF">
      <w:pPr>
        <w:keepLines/>
        <w:spacing w:before="120" w:after="120"/>
        <w:ind w:firstLine="340"/>
        <w:rPr>
          <w:color w:val="000000"/>
          <w:u w:color="000000"/>
        </w:rPr>
      </w:pPr>
    </w:p>
    <w:p w14:paraId="0EE19E9B" w14:textId="77777777" w:rsidR="00346AAF" w:rsidRDefault="00346AAF" w:rsidP="00346AAF">
      <w:pPr>
        <w:keepLines/>
        <w:spacing w:before="120" w:after="120"/>
        <w:ind w:firstLine="340"/>
        <w:rPr>
          <w:color w:val="000000"/>
          <w:u w:color="000000"/>
        </w:rPr>
      </w:pPr>
    </w:p>
    <w:p w14:paraId="45CD2495" w14:textId="77777777" w:rsidR="00D649C0" w:rsidRDefault="00000000">
      <w:pPr>
        <w:keepNext/>
        <w:spacing w:before="120" w:after="120" w:line="360" w:lineRule="auto"/>
        <w:ind w:left="5315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zarządzenia Nr 36/2025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 3 marca 2025 r.</w:t>
      </w:r>
    </w:p>
    <w:p w14:paraId="427DB990" w14:textId="77777777" w:rsidR="00346AAF" w:rsidRDefault="00000000">
      <w:pPr>
        <w:keepNext/>
        <w:spacing w:after="48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PROCEDURY KONTROLI ZARZĄDCZEJ</w:t>
      </w:r>
      <w:r>
        <w:rPr>
          <w:b/>
          <w:color w:val="000000"/>
          <w:u w:color="000000"/>
        </w:rPr>
        <w:br/>
        <w:t>w Urzędzie Miejskim w Barwicach</w:t>
      </w:r>
      <w:r>
        <w:rPr>
          <w:b/>
          <w:color w:val="000000"/>
          <w:u w:color="000000"/>
        </w:rPr>
        <w:br/>
      </w:r>
    </w:p>
    <w:p w14:paraId="6A013334" w14:textId="7C64CF9D" w:rsidR="00D649C0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POSTANOWIENIA OGÓLNE</w:t>
      </w:r>
    </w:p>
    <w:p w14:paraId="4B16523E" w14:textId="48A12C08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Na podstawie art. 69 ust. 3 Ustawy z dnia 27 sierpnia 2009 r. o finansach publicznych  oraz</w:t>
      </w:r>
      <w:r w:rsidR="00865FF8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Komunikatu Nr 23 Ministra Finansów z dnia 16 grudnia 2009 r. w sprawie ogłoszenia Standardów kontroli zarządczej w jednostkach sektora finansów publicznych (Dz. Urz. M.F. Nr 15, poz. 84 z dnia 30.12.2009 r.), sporządza się „</w:t>
      </w:r>
      <w:r>
        <w:rPr>
          <w:b/>
          <w:color w:val="000000"/>
          <w:u w:color="000000"/>
        </w:rPr>
        <w:t>Procedury Kontroli Zarządczej w Urzędzie Miejskim w Barwicach”</w:t>
      </w:r>
      <w:r>
        <w:rPr>
          <w:color w:val="000000"/>
          <w:u w:color="000000"/>
        </w:rPr>
        <w:t>.</w:t>
      </w:r>
    </w:p>
    <w:p w14:paraId="325DF422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Kontrola zarządcza w Urzędzie Miejskim w Barwicach w dalszej części dokumentu nazywanego jednostką, obejmuje zespół działań podejmowanych dla zapewnienia realizacji celów i zadań w sposób zgodny z prawem, efektywny, oszczędny i terminowy. Dokumentacja kontroli zarządczej służy monitorowaniu wykonywania zadań, zgodnych z ww. kryteriami, w szczególności zapewniając:</w:t>
      </w:r>
    </w:p>
    <w:p w14:paraId="596B8D7F" w14:textId="77777777" w:rsidR="00D649C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przestrzeganie i promowanie zasad etycznego postępowania,</w:t>
      </w:r>
    </w:p>
    <w:p w14:paraId="0E20367A" w14:textId="77777777" w:rsidR="00D649C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zarządzanie ryzykiem,</w:t>
      </w:r>
    </w:p>
    <w:p w14:paraId="04D6AB09" w14:textId="77777777" w:rsidR="00D649C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zgodność działalności z przepisami prawa oraz procedurami wewnętrznymi,</w:t>
      </w:r>
    </w:p>
    <w:p w14:paraId="3A6C1B09" w14:textId="77777777" w:rsidR="00D649C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wiarygodność sprawozdań,</w:t>
      </w:r>
    </w:p>
    <w:p w14:paraId="60560CE6" w14:textId="77777777" w:rsidR="00D649C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ochronę zasobów,</w:t>
      </w:r>
    </w:p>
    <w:p w14:paraId="6039AB38" w14:textId="77777777" w:rsidR="00D649C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efektywność i skuteczność przepływu informacji,</w:t>
      </w:r>
    </w:p>
    <w:p w14:paraId="1F6A711E" w14:textId="77777777" w:rsidR="00D649C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skuteczność i efektywność działania.</w:t>
      </w:r>
    </w:p>
    <w:p w14:paraId="51824358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System standardów kontroli zarządczej w obejmuje następujące obszary:</w:t>
      </w:r>
    </w:p>
    <w:p w14:paraId="0D5E70B2" w14:textId="77777777" w:rsidR="00D649C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środowisko wewnętrzne,</w:t>
      </w:r>
    </w:p>
    <w:p w14:paraId="7B161B73" w14:textId="77777777" w:rsidR="00D649C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cele i zarządzanie ryzykiem,</w:t>
      </w:r>
    </w:p>
    <w:p w14:paraId="1A281339" w14:textId="77777777" w:rsidR="00D649C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mechanizmy kontroli,</w:t>
      </w:r>
    </w:p>
    <w:p w14:paraId="0E7642B5" w14:textId="77777777" w:rsidR="00D649C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mechanizmy kontroli dotyczące systemów informatycznych</w:t>
      </w:r>
    </w:p>
    <w:p w14:paraId="69E9DACA" w14:textId="77777777" w:rsidR="00D649C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informacja  i komunikacja,</w:t>
      </w:r>
    </w:p>
    <w:p w14:paraId="4B7B6AB2" w14:textId="77777777" w:rsidR="00D649C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monitorowanie i ocena.</w:t>
      </w:r>
    </w:p>
    <w:p w14:paraId="58B91D68" w14:textId="77777777" w:rsidR="00D649C0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ŚRODOWISKO WEWNĘTRZNE</w:t>
      </w:r>
    </w:p>
    <w:p w14:paraId="50AA0A74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Środowisko wewnętrzne stanowi podstawę dla pozostałych elementów kontroli i obejmuje:</w:t>
      </w:r>
    </w:p>
    <w:p w14:paraId="265FDEA8" w14:textId="77777777" w:rsidR="00D649C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uczciwość i inne wartości etyczne,</w:t>
      </w:r>
    </w:p>
    <w:p w14:paraId="46ED96B1" w14:textId="77777777" w:rsidR="00D649C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kompetencje zawodowe,</w:t>
      </w:r>
    </w:p>
    <w:p w14:paraId="23BADEF7" w14:textId="77777777" w:rsidR="00D649C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strukturę organizacyjną,</w:t>
      </w:r>
    </w:p>
    <w:p w14:paraId="53087B54" w14:textId="77777777" w:rsidR="00D649C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delegowanie uprawnień,</w:t>
      </w:r>
    </w:p>
    <w:p w14:paraId="077017F1" w14:textId="77777777" w:rsidR="00D649C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identyfikację zadań wrażliwych,</w:t>
      </w:r>
    </w:p>
    <w:p w14:paraId="72532488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b/>
          <w:color w:val="000000"/>
          <w:u w:color="000000"/>
        </w:rPr>
        <w:t>Uczciwość i inne wartości etyczne</w:t>
      </w:r>
    </w:p>
    <w:p w14:paraId="7AAD6725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Osoby zarządzające oraz pozostali pracownicy podczas realizacji swoich zadań są świadomi i przestrzegają wartości etycznych przyjętych w Urzędzie.</w:t>
      </w:r>
    </w:p>
    <w:p w14:paraId="695AEC74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Osoby zarządzające promują i wspierają przestrzeganie wartości etycznych poprzez dawanie przykładu swoim codziennym postępowaniem i podejmowanymi decyzjami.</w:t>
      </w:r>
    </w:p>
    <w:p w14:paraId="602DFB46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Wartości etyczne zostały określone w „</w:t>
      </w:r>
      <w:r>
        <w:rPr>
          <w:i/>
          <w:color w:val="000000"/>
          <w:u w:color="000000"/>
        </w:rPr>
        <w:t>Kodeksie Etycznym pracowników Urzędu”.</w:t>
      </w:r>
    </w:p>
    <w:p w14:paraId="5F0DA42A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Każdy przypadek nieetycznego zachowania pracowników jest zgłaszany Burmistrzowi i podlega wnikliwej analizie. Ujawnione i udowodnione przypadki nieetycznego zachowania mają wpływ na ocenę pracownika.</w:t>
      </w:r>
    </w:p>
    <w:p w14:paraId="295FC324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Pracownicy zostają zapoznani z zasadami zawartymi w aktach wewnętrznych normujących przestrzeganie Kodeku etycznego i potwierdzają ich znajomość składanym podpisem. Pracownicy mają świadomość konsekwencji, jakie może wywołać nieetyczne zachowanie lub działanie niezgodne z prawem.</w:t>
      </w:r>
    </w:p>
    <w:p w14:paraId="59CDF46C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b/>
          <w:color w:val="000000"/>
          <w:u w:color="000000"/>
        </w:rPr>
        <w:t>Kompetencje zawodowe</w:t>
      </w:r>
    </w:p>
    <w:p w14:paraId="4D26C3DA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Osoby zarządzające oraz pracownicy Urzędu posiadają wiedzę, umiejętności i doświadczenie pozwalające na skuteczne realizowanie powierzonych zadań.</w:t>
      </w:r>
    </w:p>
    <w:p w14:paraId="63345C42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Proces rekrutacji i zatrudnienia pracowników prowadzony jest w sposób zapewniający dokonanie wyboru najlepszego kandydata na dane stanowisko pracy.</w:t>
      </w:r>
    </w:p>
    <w:p w14:paraId="6AC4368D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W procesie rekrutacji narzędziem służącym do oceny i zapewniającym wybór najlepszego kandydata na dane stanowisko pracy są </w:t>
      </w:r>
      <w:r>
        <w:rPr>
          <w:i/>
          <w:color w:val="000000"/>
          <w:u w:color="000000"/>
        </w:rPr>
        <w:t>opisy stanowisk.</w:t>
      </w:r>
    </w:p>
    <w:p w14:paraId="046DB29E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O</w:t>
      </w:r>
      <w:r>
        <w:rPr>
          <w:i/>
          <w:color w:val="000000"/>
          <w:u w:color="000000"/>
        </w:rPr>
        <w:t>pis stanowiska pracy</w:t>
      </w:r>
      <w:r>
        <w:rPr>
          <w:color w:val="000000"/>
          <w:u w:color="000000"/>
        </w:rPr>
        <w:t xml:space="preserve"> określa potrzebny poziom kompetencji, jakie powinien posiadać pracownik w ramach przypisanych zadań.</w:t>
      </w:r>
    </w:p>
    <w:p w14:paraId="7F6A0061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Osoby zarządzające podejmują działania zmierzające do zapewnienia pracownikom</w:t>
      </w:r>
      <w:r>
        <w:rPr>
          <w:color w:val="000000"/>
          <w:u w:color="000000"/>
        </w:rPr>
        <w:br/>
        <w:t>i sobie możliwości podnoszenia kwalifikacji i rozwoju kompetencji zawodowych.</w:t>
      </w:r>
    </w:p>
    <w:p w14:paraId="209D9728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Doskonalenie zawodowe pracowników jest ujęte w wieloletnim planie doskonalenia zawodowego.</w:t>
      </w:r>
    </w:p>
    <w:p w14:paraId="58BC8E34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b/>
          <w:color w:val="000000"/>
          <w:u w:color="000000"/>
        </w:rPr>
        <w:t>Struktura organizacyjna</w:t>
      </w:r>
    </w:p>
    <w:p w14:paraId="54A85554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Struktura organizacyjna Urzędu dostosowana jest do aktualnych celów</w:t>
      </w:r>
      <w:r>
        <w:rPr>
          <w:color w:val="000000"/>
          <w:u w:color="000000"/>
        </w:rPr>
        <w:br/>
        <w:t>i zadań jednostki.</w:t>
      </w:r>
    </w:p>
    <w:p w14:paraId="58DE5BB2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Zakresy zadań, uprawnień, odpowiedzialności oraz podległości służbowej pracowników są określone w sposób przejrzysty, zrozumiały i spójny.</w:t>
      </w:r>
    </w:p>
    <w:p w14:paraId="65708FE2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Każdy pracownik posiada zakres obowiązków, uprawnień i odpowiedzialności.</w:t>
      </w:r>
    </w:p>
    <w:p w14:paraId="2A4CB13C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Organizacja i godziny pracy Urzędu zapewniają ciągłość w działalności oraz są dostosowane do potrzeb interesantów.</w:t>
      </w:r>
    </w:p>
    <w:p w14:paraId="5B38265C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Struktura organizacyjna Urzędu jest okresowo oceniana i dostosowywana do zmieniających się warunków działania jednostki.</w:t>
      </w:r>
    </w:p>
    <w:p w14:paraId="14246FEA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b/>
          <w:color w:val="000000"/>
          <w:u w:color="000000"/>
        </w:rPr>
        <w:t>Delegowanie uprawnień</w:t>
      </w:r>
    </w:p>
    <w:p w14:paraId="54E62B57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Delegowanie uprawnień i odpowiedzialności poszczególnym pracownikom dokonywane jest w formie pisemnego upoważnienia, powierzenia obowiązków lub pełnomocnictwa precyzyjnie i jednoznacznie określającego ich zakres.</w:t>
      </w:r>
    </w:p>
    <w:p w14:paraId="1D197F73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Zakres delegowanych uprawnień jest adekwatny do wagi podejmowanych decyzji, stopnia ich skomplikowania i związanego z nimi ryzyka.</w:t>
      </w:r>
    </w:p>
    <w:p w14:paraId="763B2642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Przyjęcie delegowanych uprawnień jest potwierdzone własnoręcznym podpisem osoby zarządzającej oraz pracownika.</w:t>
      </w:r>
    </w:p>
    <w:p w14:paraId="563796C1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b/>
          <w:color w:val="000000"/>
          <w:u w:color="000000"/>
        </w:rPr>
        <w:t>Identyfikacja zadań wrażliwych</w:t>
      </w:r>
    </w:p>
    <w:p w14:paraId="2D9F4FCB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 Urzędzie co roku tworzy się zestawienie zadań wrażliwych, przy wykonywaniu których pracownicy mogą być szczególnie podatni na wpływy szkodliwe dla gospodarki finansowej jednostki.</w:t>
      </w:r>
    </w:p>
    <w:p w14:paraId="53C4E4E1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Zadania wrażliwe stanowią wykonywane przez pracowników czynności lub prowadzone procesy i podlegają stałej, bieżącej analizie.</w:t>
      </w:r>
    </w:p>
    <w:p w14:paraId="2119D67F" w14:textId="77777777" w:rsidR="00346AAF" w:rsidRDefault="00346AAF">
      <w:pPr>
        <w:spacing w:before="120" w:after="120"/>
        <w:jc w:val="center"/>
        <w:rPr>
          <w:b/>
          <w:color w:val="000000"/>
          <w:u w:color="000000"/>
        </w:rPr>
      </w:pPr>
    </w:p>
    <w:p w14:paraId="438D662D" w14:textId="6C44A925" w:rsidR="00D649C0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lastRenderedPageBreak/>
        <w:t>CELE I ZARZĄDZANIE RYZYKIEM</w:t>
      </w:r>
    </w:p>
    <w:p w14:paraId="2295AF68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b/>
          <w:color w:val="000000"/>
          <w:u w:color="000000"/>
        </w:rPr>
        <w:t xml:space="preserve">Misja </w:t>
      </w:r>
    </w:p>
    <w:p w14:paraId="6376E133" w14:textId="77777777" w:rsidR="00D649C0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Celem działania Urzędu jest zaspakajanie zbiorowych potrzeb wspólnoty i tworzenie warunków dla pełnego uczestnictwa mieszkańców w jej życiu.</w:t>
      </w:r>
    </w:p>
    <w:p w14:paraId="62AA591C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b/>
          <w:color w:val="000000"/>
          <w:u w:color="000000"/>
        </w:rPr>
        <w:t>Określenie celów i zadań</w:t>
      </w:r>
    </w:p>
    <w:p w14:paraId="3C29837A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Cele i zadania Urzędu określane są w co najmniej w rocznej perspektywie.</w:t>
      </w:r>
    </w:p>
    <w:p w14:paraId="1FA5C646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Cele ogólne są określone w sposób przejrzysty i zgodny z misją i zadaniami.</w:t>
      </w:r>
    </w:p>
    <w:p w14:paraId="35B434EF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Zadania i cele szczegółowe wynikają bezpośrednio z zadań i celów ogólnych.</w:t>
      </w:r>
    </w:p>
    <w:p w14:paraId="5D5F95EE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Realizację celów i zadań monitoruje się i ocenia za pomocą kryteriów oszczędności, efektywności i skuteczności.</w:t>
      </w:r>
    </w:p>
    <w:p w14:paraId="3707B4E3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Przy określaniu celów i zadań należy wskazać jednostki, komórki organizacyjne lub osoby odpowiedzialne bezpośrednio za ich wykonanie oraz zasoby przeznaczone do ich realizacji.</w:t>
      </w:r>
    </w:p>
    <w:p w14:paraId="3DB331BF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rPr>
          <w:b/>
          <w:color w:val="000000"/>
          <w:u w:color="000000"/>
        </w:rPr>
        <w:t>Identyfikacja ryzyka</w:t>
      </w:r>
    </w:p>
    <w:p w14:paraId="1E883897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Identyfikacja i zarzadzanie ryzykiem ma na celu zwiększenie prawdopodobieństwa osiągnięcia celów i realizacji zadań. Standardy zarządzania ryzkiem, określone w dokumencie pn. „</w:t>
      </w:r>
      <w:r>
        <w:rPr>
          <w:i/>
          <w:color w:val="000000"/>
          <w:u w:color="000000"/>
        </w:rPr>
        <w:t>Polityka zarządzania ryzykiem w Urzędzie”</w:t>
      </w:r>
      <w:r>
        <w:rPr>
          <w:color w:val="000000"/>
          <w:u w:color="000000"/>
        </w:rPr>
        <w:t xml:space="preserve"> obejmują:</w:t>
      </w:r>
    </w:p>
    <w:p w14:paraId="6AEFC847" w14:textId="77777777" w:rsidR="00D649C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identyfikację ryzyka,</w:t>
      </w:r>
    </w:p>
    <w:p w14:paraId="0BE33A51" w14:textId="77777777" w:rsidR="00D649C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analizę ryzyka,</w:t>
      </w:r>
    </w:p>
    <w:p w14:paraId="2740E5E8" w14:textId="77777777" w:rsidR="00D649C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reakcję na ryzyko i działania zaradcze.</w:t>
      </w:r>
    </w:p>
    <w:p w14:paraId="7FC0BCC2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Identyfikacja ryzyka dokonywana jest nie rzadziej, niż jeden raz w roku i dotyczy zarówno działalności całej jednostki, jak i realizacji konkretnych projektów, programów czy zadań.</w:t>
      </w:r>
    </w:p>
    <w:p w14:paraId="2016699F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Identyfikacja ryzyka jest ponawiana w przypadku istotnej zmiany warunków funkcjonowania Urzędu.</w:t>
      </w:r>
    </w:p>
    <w:p w14:paraId="16DEB814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Proces identyfikacji ryzyka jest dokumentowany poprzez wskazanie wrażliwych obszarów działania oraz rejestrowanie zidentyfikowanych </w:t>
      </w:r>
      <w:proofErr w:type="spellStart"/>
      <w:r>
        <w:rPr>
          <w:color w:val="000000"/>
          <w:u w:color="000000"/>
        </w:rPr>
        <w:t>ryzyk</w:t>
      </w:r>
      <w:proofErr w:type="spellEnd"/>
      <w:r>
        <w:rPr>
          <w:color w:val="000000"/>
          <w:u w:color="000000"/>
        </w:rPr>
        <w:t xml:space="preserve"> z uwzględnieniem skutków i działań zaradczych.</w:t>
      </w:r>
    </w:p>
    <w:p w14:paraId="79489D65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13. </w:t>
      </w:r>
      <w:r>
        <w:rPr>
          <w:b/>
          <w:color w:val="000000"/>
          <w:u w:color="000000"/>
        </w:rPr>
        <w:t>Analiza ryzyka</w:t>
      </w:r>
    </w:p>
    <w:p w14:paraId="71CB2C7E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Zidentyfikowane ryzyka są poddawane analizie mającej na celu określenie możliwych skutków i prawdopodobieństwa wystąpienia danego ryzyka. Burmistrz oraz upoważnieni pracownicy określają akceptowany poziom ryzyka.</w:t>
      </w:r>
    </w:p>
    <w:p w14:paraId="1A76C0E8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Analiza ryzyka obejmuje:</w:t>
      </w:r>
    </w:p>
    <w:p w14:paraId="58D343BF" w14:textId="77777777" w:rsidR="00D649C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przypisanie każdego ryzyka do określonych celów,</w:t>
      </w:r>
    </w:p>
    <w:p w14:paraId="3BDACA75" w14:textId="77777777" w:rsidR="00D649C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oszacowanie prawdopodobieństwa wystąpienia dla każdego rodzaju ryzyka,</w:t>
      </w:r>
    </w:p>
    <w:p w14:paraId="5395BCB3" w14:textId="77777777" w:rsidR="00D649C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oszacowanie potencjalnych strat w przypadku wystąpienia ryzyka.</w:t>
      </w:r>
    </w:p>
    <w:p w14:paraId="327502D5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14. </w:t>
      </w:r>
      <w:r>
        <w:rPr>
          <w:b/>
          <w:color w:val="000000"/>
          <w:u w:color="000000"/>
        </w:rPr>
        <w:t>Reakcja na ryzyko i działania zaradcze</w:t>
      </w:r>
    </w:p>
    <w:p w14:paraId="4DFA7D1F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 wyniku identyfikacji ryzyka określa się rodzaj reakcji na każde istotne ryzyko. Reakcja może polegać na tolerowaniu prawdopodobieństwa wystąpienia niekorzystnych zdarzeń, przeniesieniu odpowiedzialności za skutki ich wystąpienia, wycofaniu się z określonych działań lub podjęciu określonych działań.</w:t>
      </w:r>
    </w:p>
    <w:p w14:paraId="1D9EDCA4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przypadku wystąpienia określonego ryzyka, określa się działania zaradcze, które należy podjąć w celu zmniejszenia danego ryzyka do akceptowalnego poziomu lub jego całkowitego wyeliminowania.</w:t>
      </w:r>
    </w:p>
    <w:p w14:paraId="48B5C8BF" w14:textId="77777777" w:rsidR="00346AAF" w:rsidRDefault="00346AAF">
      <w:pPr>
        <w:spacing w:before="120" w:after="120"/>
        <w:jc w:val="center"/>
        <w:rPr>
          <w:b/>
          <w:color w:val="000000"/>
          <w:u w:color="000000"/>
        </w:rPr>
      </w:pPr>
    </w:p>
    <w:p w14:paraId="728332E7" w14:textId="3AA435EE" w:rsidR="00D649C0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MECHANIZMY KONTROLI</w:t>
      </w:r>
    </w:p>
    <w:p w14:paraId="2E44B205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15. </w:t>
      </w:r>
      <w:r>
        <w:rPr>
          <w:b/>
          <w:color w:val="000000"/>
          <w:u w:color="000000"/>
        </w:rPr>
        <w:t>Standardy dotyczące mechanizmów kontroli obejmują:</w:t>
      </w:r>
    </w:p>
    <w:p w14:paraId="1C6E2516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dokumentowanie systemu kontroli finansowej,</w:t>
      </w:r>
    </w:p>
    <w:p w14:paraId="48918A78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dokumentowanie i rejestrowanie operacji finansowych i gospodarczych,</w:t>
      </w:r>
    </w:p>
    <w:p w14:paraId="1279F065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zatwierdzanie operacji finansowych,</w:t>
      </w:r>
    </w:p>
    <w:p w14:paraId="6B07FB26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podział obowiązków,</w:t>
      </w:r>
    </w:p>
    <w:p w14:paraId="2C3AE44E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weryfikacje,</w:t>
      </w:r>
    </w:p>
    <w:p w14:paraId="6A5555C8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nadzór,</w:t>
      </w:r>
    </w:p>
    <w:p w14:paraId="66C8C480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rejestrowanie odstępstw,</w:t>
      </w:r>
    </w:p>
    <w:p w14:paraId="3F276374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ciągłość działalności,</w:t>
      </w:r>
    </w:p>
    <w:p w14:paraId="651F23C4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ochronę zasobów.</w:t>
      </w:r>
    </w:p>
    <w:p w14:paraId="76AC131B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16. </w:t>
      </w:r>
      <w:r>
        <w:rPr>
          <w:b/>
          <w:color w:val="000000"/>
          <w:u w:color="000000"/>
        </w:rPr>
        <w:t>Dokumentowanie systemu kontroli zarządczej</w:t>
      </w:r>
    </w:p>
    <w:p w14:paraId="4265EB25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Dokumentacja systemu kontroli zarządczej obejmuje procedury wewnętrzne, instrukcje, wytyczne, dokumenty określające zakresy obowiązków, odpowiedzialności i uprawnień pracowników oraz inne dokumenty wewnętrzne.</w:t>
      </w:r>
    </w:p>
    <w:p w14:paraId="5AFAB97D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Dokumentacja systemu kontroli zarządczej jest spójna, przejrzysta, pełna oraz aktualna i jest dostępna dla wszystkich osób, którym informacje w niej zawarte są niezbędne.</w:t>
      </w:r>
    </w:p>
    <w:p w14:paraId="5FAAE273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17. </w:t>
      </w:r>
      <w:r>
        <w:rPr>
          <w:b/>
          <w:color w:val="000000"/>
          <w:u w:color="000000"/>
        </w:rPr>
        <w:t>Dokumentowanie i rejestrowanie operacji finansowych i gospodarczych</w:t>
      </w:r>
    </w:p>
    <w:p w14:paraId="39BE4126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Operacje finansowe, gospodarcze i inne zdarzenia są bezzwłocznie rejestrowane </w:t>
      </w:r>
      <w:r>
        <w:rPr>
          <w:color w:val="000000"/>
          <w:u w:color="000000"/>
        </w:rPr>
        <w:br/>
        <w:t>i prawidłowo klasyfikowane, zgodnie z aktami prawnymi oraz przepisami wewnętrznymi w zakresie dokumentacji zasad rachunkowości oraz „</w:t>
      </w:r>
      <w:r>
        <w:rPr>
          <w:i/>
          <w:color w:val="000000"/>
          <w:u w:color="000000"/>
        </w:rPr>
        <w:t>Instrukcją obiegu i kontroli dowodów księgowych w Urzędzie".</w:t>
      </w:r>
    </w:p>
    <w:p w14:paraId="52D633CF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Dokumentacja finansowa jest kompletna i umożliwia dokładne prześledzenie każdej operacji finansowej, gospodarczej lub zdarzenia od samego początku, w trakcie ich trwania oraz po ich zakończeniu.</w:t>
      </w:r>
    </w:p>
    <w:p w14:paraId="7E8E6057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18. </w:t>
      </w:r>
      <w:r>
        <w:rPr>
          <w:b/>
          <w:color w:val="000000"/>
          <w:u w:color="000000"/>
        </w:rPr>
        <w:t>Zatwierdzanie operacji finansowych</w:t>
      </w:r>
    </w:p>
    <w:p w14:paraId="3712E922" w14:textId="77777777" w:rsidR="00D649C0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Wszelkie operacje finansowe i gospodarcze związane z pozyskiwaniem i wydatkowaniem środków publicznych są zatwierdzane przez Burmistrza, a następnie akceptowane do zaksięgowania.</w:t>
      </w:r>
    </w:p>
    <w:p w14:paraId="6B869D2F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19. </w:t>
      </w:r>
      <w:r>
        <w:rPr>
          <w:b/>
          <w:color w:val="000000"/>
          <w:u w:color="000000"/>
        </w:rPr>
        <w:t>Podział obowiązków</w:t>
      </w:r>
    </w:p>
    <w:p w14:paraId="2648FA21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Zadania dotyczące prowadzenia, zatwierdzania, rejestrowania i sprawdzania operacji finansowych, gospodarczych i innych zdarzeń związanych z pozyskiwaniem i wydatkowaniem środków publicznych, są rozdzielone pomiędzy pracowników, zgodnie z kompetencjami wynikającymi z zakresu służbowych czynności, uprawnień i odpowiedzialności z uwzględnieniem obowiązków i odpowiedzialności Głównego Księgowego określonych w przepisach prawa.</w:t>
      </w:r>
    </w:p>
    <w:p w14:paraId="58B086C0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Podział obowiązków przedstawiają opisy stanowisk. Ponadto ustalono system zastępstw w przypadku nieobecności pracownika.</w:t>
      </w:r>
    </w:p>
    <w:p w14:paraId="072E4786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20. </w:t>
      </w:r>
      <w:r>
        <w:rPr>
          <w:b/>
          <w:color w:val="000000"/>
          <w:u w:color="000000"/>
        </w:rPr>
        <w:t>Weryfikacje</w:t>
      </w:r>
    </w:p>
    <w:p w14:paraId="157A9601" w14:textId="77777777" w:rsidR="00D649C0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Operacje finansowe, gospodarcze i inne istotne zdarzenia są weryfikowane przed i po realizacji, np.: wielkość dostawy jest porównywana z zamówieniem; dane dotyczące dostawy uwidocznione na fakturze porównywane są  z danymi dotyczącymi przyjętej dostawy; stan środków trwałych weryfikowany jest poprzez inwentaryzację.</w:t>
      </w:r>
    </w:p>
    <w:p w14:paraId="1AD9724B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21. </w:t>
      </w:r>
      <w:r>
        <w:rPr>
          <w:b/>
          <w:color w:val="000000"/>
          <w:u w:color="000000"/>
        </w:rPr>
        <w:t>Nadzór</w:t>
      </w:r>
    </w:p>
    <w:p w14:paraId="23025721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Burmistrz prowadzi nadzór nad wykonaniem zadań w celu ich oszczędnej, efektywnej i skutecznej realizacji, szczególnie pod względem:</w:t>
      </w:r>
    </w:p>
    <w:p w14:paraId="2BD54317" w14:textId="77777777" w:rsidR="00D649C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jasnego komunikowania obowiązków, zadań i odpowiedzialności każdemu</w:t>
      </w:r>
      <w:r>
        <w:rPr>
          <w:color w:val="000000"/>
          <w:u w:color="000000"/>
        </w:rPr>
        <w:br/>
        <w:t>z pracowników,</w:t>
      </w:r>
    </w:p>
    <w:p w14:paraId="2F7B8261" w14:textId="77777777" w:rsidR="00D649C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systematycznej oceny ich pracy w niezbędnym zakresie,</w:t>
      </w:r>
    </w:p>
    <w:p w14:paraId="30457F7B" w14:textId="77777777" w:rsidR="00D649C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zatwierdzania wyników pracy w decydujących momentach, w celu uzyskania zapewnienia, że przebiega ona zgodnie z zamierzeniami.</w:t>
      </w:r>
    </w:p>
    <w:p w14:paraId="75386D05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W Urzędzie opracowane są narzędzia nadzoru i kontroli realizacji celów</w:t>
      </w:r>
      <w:r>
        <w:rPr>
          <w:color w:val="000000"/>
          <w:u w:color="000000"/>
        </w:rPr>
        <w:br/>
        <w:t>i zadań jednostki.</w:t>
      </w:r>
    </w:p>
    <w:p w14:paraId="10BB42C5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Nadzorem Burmistrza objęte są wszelkie operacje finansowe i zdarzenia gospodarcze.</w:t>
      </w:r>
    </w:p>
    <w:p w14:paraId="7AFD2D0B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22. </w:t>
      </w:r>
      <w:r>
        <w:rPr>
          <w:b/>
          <w:color w:val="000000"/>
          <w:u w:color="000000"/>
        </w:rPr>
        <w:t>Rejestrowanie odstępstw</w:t>
      </w:r>
    </w:p>
    <w:p w14:paraId="5DB60903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Wprowadzenie odpowiednich procedur gwarantuje, iż wszystkie przypadki odstępstw od ustaleń w nich zawartych będą dokumentowane, należycie uzasadnione oraz zatwierdzone przez  Burmistrza.</w:t>
      </w:r>
    </w:p>
    <w:p w14:paraId="2B84A869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23. </w:t>
      </w:r>
      <w:r>
        <w:rPr>
          <w:b/>
          <w:color w:val="000000"/>
          <w:u w:color="000000"/>
        </w:rPr>
        <w:t>Ciągłość działalności</w:t>
      </w:r>
    </w:p>
    <w:p w14:paraId="1B3D8256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Urząd zapewnia istnienie mechanizmów i podejmowanie działań mających na celu utrzymanie ciągłości działalności jednostki w każdym czasie i okolicznościach.</w:t>
      </w:r>
    </w:p>
    <w:p w14:paraId="21BDEDF1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Zapewnienie ciągłości działalności dotyczy w szczególności operacji finansowych</w:t>
      </w:r>
      <w:r>
        <w:rPr>
          <w:color w:val="000000"/>
          <w:u w:color="000000"/>
        </w:rPr>
        <w:br/>
        <w:t>i gospodarczych ze szczególnym uwzględnieniem kontroli tych operacji oraz monitoringu realizacji zadań i oceny ryzyka.</w:t>
      </w:r>
    </w:p>
    <w:p w14:paraId="0E5E0215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Do mechanizmów utrzymania ciągłości działalności należą:</w:t>
      </w:r>
    </w:p>
    <w:p w14:paraId="478296B3" w14:textId="77777777" w:rsidR="00D649C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ustalanie zastępstw za nieobecnych pracowników,</w:t>
      </w:r>
    </w:p>
    <w:p w14:paraId="77DC3E45" w14:textId="77777777" w:rsidR="00D649C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odpowiednie planowanie urlopów pracowniczych,</w:t>
      </w:r>
    </w:p>
    <w:p w14:paraId="574DD6D3" w14:textId="77777777" w:rsidR="00D649C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określenie środków zaradczych w przypadku nieobecności pracowników kluczowych.</w:t>
      </w:r>
    </w:p>
    <w:p w14:paraId="60373CEF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24. </w:t>
      </w:r>
      <w:r>
        <w:rPr>
          <w:b/>
          <w:color w:val="000000"/>
          <w:u w:color="000000"/>
        </w:rPr>
        <w:t>Ochrona zasobów</w:t>
      </w:r>
    </w:p>
    <w:p w14:paraId="42298653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Dostęp do zasobów finansowych mają wyłącznie osoby upoważnione.</w:t>
      </w:r>
    </w:p>
    <w:p w14:paraId="4E12EE66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Wyznaczono pracowników odpowiedzialnych za zapewnienie ochrony i właściwego wykorzystania zasobów.</w:t>
      </w:r>
    </w:p>
    <w:p w14:paraId="4750AD80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Prowadzone są okresowe porównania rzeczywistego stanu zasobów z zapisami</w:t>
      </w:r>
      <w:r>
        <w:rPr>
          <w:color w:val="000000"/>
          <w:u w:color="000000"/>
        </w:rPr>
        <w:br/>
        <w:t>w rejestrach (księgach).</w:t>
      </w:r>
    </w:p>
    <w:p w14:paraId="7D1CD74C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Do środków ochrony zasobów zalicza się:</w:t>
      </w:r>
    </w:p>
    <w:p w14:paraId="567C699B" w14:textId="77777777" w:rsidR="00D649C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zabezpieczenia techniczne obiektów i pomieszczeń o istotnym znaczeniu,</w:t>
      </w:r>
    </w:p>
    <w:p w14:paraId="7DEC47D5" w14:textId="77777777" w:rsidR="00D649C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 obiektach Urzędu wprowadzono odpowiednie środki ochrony przeciwpożarowej,</w:t>
      </w:r>
    </w:p>
    <w:p w14:paraId="6C8C9F20" w14:textId="77777777" w:rsidR="00D649C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powierzenie pracownikowi mienia Urzędu do użytku indywidualnego odbywa się w oparciu o protokół przekazania oraz oświadczenie o odpowiedzialności materialnej.</w:t>
      </w:r>
    </w:p>
    <w:p w14:paraId="69C18C6D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Szczegółowe zasady dotyczące ochrony zasobów regulują:</w:t>
      </w:r>
    </w:p>
    <w:p w14:paraId="413530E7" w14:textId="77777777" w:rsidR="00D649C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i/>
          <w:color w:val="000000"/>
          <w:u w:color="000000"/>
        </w:rPr>
        <w:t>Instrukcja bezpieczeństwa pożarowego,</w:t>
      </w:r>
    </w:p>
    <w:p w14:paraId="30A1D8B3" w14:textId="77777777" w:rsidR="00D649C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i/>
          <w:color w:val="000000"/>
          <w:u w:color="000000"/>
        </w:rPr>
        <w:t>Instrukcja zabezpieczenia mienia i odpowiedzialności pracowników,</w:t>
      </w:r>
    </w:p>
    <w:p w14:paraId="4C030924" w14:textId="18AD7802" w:rsidR="00D649C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i/>
          <w:color w:val="000000"/>
          <w:u w:color="000000"/>
        </w:rPr>
        <w:t>Instrukcja</w:t>
      </w:r>
      <w:r w:rsidR="00865FF8">
        <w:rPr>
          <w:i/>
          <w:color w:val="000000"/>
          <w:u w:color="000000"/>
        </w:rPr>
        <w:t xml:space="preserve"> </w:t>
      </w:r>
      <w:r>
        <w:rPr>
          <w:i/>
          <w:color w:val="000000"/>
          <w:u w:color="000000"/>
        </w:rPr>
        <w:t xml:space="preserve">w sprawie gospodarki majątkiem trwałym, inwentaryzacji majątku </w:t>
      </w:r>
      <w:r>
        <w:rPr>
          <w:i/>
          <w:color w:val="000000"/>
          <w:u w:color="000000"/>
        </w:rPr>
        <w:br/>
        <w:t>i zasad odpowiedzialności za powierzone mienie,</w:t>
      </w:r>
    </w:p>
    <w:p w14:paraId="2B829A2C" w14:textId="77777777" w:rsidR="00D649C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i/>
          <w:color w:val="000000"/>
          <w:u w:color="000000"/>
        </w:rPr>
        <w:t>Instrukcja kasowa,</w:t>
      </w:r>
    </w:p>
    <w:p w14:paraId="4C6159A2" w14:textId="77777777" w:rsidR="00D649C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e) </w:t>
      </w:r>
      <w:r>
        <w:rPr>
          <w:i/>
          <w:color w:val="000000"/>
          <w:u w:color="000000"/>
        </w:rPr>
        <w:t>Instrukcja w sprawie zasad gospodarowania drukami ścisłego zarachowania.</w:t>
      </w:r>
    </w:p>
    <w:p w14:paraId="67FEB353" w14:textId="77777777" w:rsidR="00346AAF" w:rsidRDefault="00346AAF">
      <w:pPr>
        <w:spacing w:before="120" w:after="120"/>
        <w:jc w:val="center"/>
        <w:rPr>
          <w:b/>
          <w:color w:val="000000"/>
          <w:u w:color="000000"/>
        </w:rPr>
      </w:pPr>
    </w:p>
    <w:p w14:paraId="4DB878E9" w14:textId="774688E5" w:rsidR="00D649C0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MECHANIZMY KONTROLI DOTYCZĄCE SYSTEMÓW INFORMATYCZNYCH</w:t>
      </w:r>
    </w:p>
    <w:p w14:paraId="3903736A" w14:textId="4D29F8A6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25. </w:t>
      </w:r>
      <w:r>
        <w:rPr>
          <w:color w:val="000000"/>
          <w:u w:color="000000"/>
        </w:rPr>
        <w:t>W Urzędzie funkcjonują mechanizmy służące zapewnieniu bezpieczeństwa danych i systemów informatycznych, które określone są w „</w:t>
      </w:r>
      <w:r>
        <w:rPr>
          <w:i/>
          <w:color w:val="000000"/>
          <w:u w:color="000000"/>
        </w:rPr>
        <w:t>Polityce bezpieczeństwa informacji w Urzędzie"</w:t>
      </w:r>
      <w:bookmarkStart w:id="0" w:name="_Hlk191889222"/>
      <w:bookmarkStart w:id="1" w:name="_Hlk191889161"/>
      <w:r>
        <w:rPr>
          <w:i/>
          <w:color w:val="000000"/>
          <w:u w:color="000000"/>
        </w:rPr>
        <w:t>.</w:t>
      </w:r>
    </w:p>
    <w:bookmarkEnd w:id="0"/>
    <w:bookmarkEnd w:id="1"/>
    <w:p w14:paraId="72CCECC5" w14:textId="77777777" w:rsidR="00346AAF" w:rsidRDefault="00346AAF">
      <w:pPr>
        <w:spacing w:before="120" w:after="120"/>
        <w:jc w:val="center"/>
        <w:rPr>
          <w:b/>
          <w:color w:val="000000"/>
          <w:u w:color="000000"/>
        </w:rPr>
      </w:pPr>
    </w:p>
    <w:p w14:paraId="546F6B25" w14:textId="313253FD" w:rsidR="00D649C0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INFORMACJA I KOMUNIKACJA</w:t>
      </w:r>
    </w:p>
    <w:p w14:paraId="516E48C6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26. </w:t>
      </w:r>
      <w:r>
        <w:rPr>
          <w:b/>
          <w:color w:val="000000"/>
          <w:u w:color="000000"/>
        </w:rPr>
        <w:t>Komunikacja wewnętrzna</w:t>
      </w:r>
    </w:p>
    <w:p w14:paraId="0EEAC812" w14:textId="77777777" w:rsidR="00D649C0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 Urzędzie:</w:t>
      </w:r>
    </w:p>
    <w:p w14:paraId="600A22D8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1. </w:t>
      </w:r>
      <w:r>
        <w:rPr>
          <w:color w:val="000000"/>
          <w:u w:color="000000"/>
        </w:rPr>
        <w:t>Wszystkim pracownikom zapewnia się dostęp do informacji niezbędnych do wykonywania przez nich obowiązków oraz realizacji zadań. Ponadto, w miarę potrzeb, organizuje się narady.</w:t>
      </w:r>
    </w:p>
    <w:p w14:paraId="7FE79D2B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System komunikacji umożliwia przepływ potrzebnych informacji wewnątrz jednostki, zarówno w kierunku poziomym, jak i pionowym.</w:t>
      </w:r>
    </w:p>
    <w:p w14:paraId="73857F9E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Wszystkie osoby odpowiedzialne za dostarczanie informacji dbają o to, by te informacje były:</w:t>
      </w:r>
    </w:p>
    <w:p w14:paraId="637DBA1F" w14:textId="77777777" w:rsidR="00D649C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aktualne, umożliwiające podjęcie odpowiednich działań w odpowiednim czasie,</w:t>
      </w:r>
    </w:p>
    <w:p w14:paraId="695A1C7D" w14:textId="77777777" w:rsidR="00D649C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rzetelne,</w:t>
      </w:r>
    </w:p>
    <w:p w14:paraId="4103D076" w14:textId="77777777" w:rsidR="00D649C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kompletne,</w:t>
      </w:r>
    </w:p>
    <w:p w14:paraId="4A610BAB" w14:textId="77777777" w:rsidR="00D649C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odpowiednio przetworzone i pogrupowane,</w:t>
      </w:r>
    </w:p>
    <w:p w14:paraId="08097FEF" w14:textId="77777777" w:rsidR="00D649C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zrozumiałe dla odbiorców.</w:t>
      </w:r>
    </w:p>
    <w:p w14:paraId="6F7D9B02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szczegółowe zasady wewnętrznego obiegu dokumentów określone są w „</w:t>
      </w:r>
      <w:r>
        <w:rPr>
          <w:i/>
          <w:color w:val="000000"/>
          <w:u w:color="000000"/>
        </w:rPr>
        <w:t>Instrukcji kancelaryjnej".</w:t>
      </w:r>
    </w:p>
    <w:p w14:paraId="40B09BDB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27. </w:t>
      </w:r>
      <w:r>
        <w:rPr>
          <w:b/>
          <w:color w:val="000000"/>
          <w:u w:color="000000"/>
        </w:rPr>
        <w:t>Komunikacja zewnętrzna</w:t>
      </w:r>
    </w:p>
    <w:p w14:paraId="5257EB69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 Urzędzie funkcjonuje system wymiany informacji z podmiotami zewnętrznymi obejmujący:</w:t>
      </w:r>
    </w:p>
    <w:p w14:paraId="11EF0698" w14:textId="77777777" w:rsidR="00D649C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systematyczne spotkania z interesariuszami,</w:t>
      </w:r>
    </w:p>
    <w:p w14:paraId="19DCBAD4" w14:textId="77777777" w:rsidR="00D649C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zamieszczanie informacji o funkcjonowaniu jednostki na tablicach ogłoszeń wewnątrz budynku,</w:t>
      </w:r>
    </w:p>
    <w:p w14:paraId="43F8270A" w14:textId="77777777" w:rsidR="00D649C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prowadzenie strony internetowej,</w:t>
      </w:r>
    </w:p>
    <w:p w14:paraId="21FE842D" w14:textId="77777777" w:rsidR="00D649C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zamieszczanie niezbędnych informacji na stronie BIP.</w:t>
      </w:r>
    </w:p>
    <w:p w14:paraId="2550564E" w14:textId="77777777" w:rsidR="00346AAF" w:rsidRDefault="00346AAF">
      <w:pPr>
        <w:spacing w:before="120" w:after="120"/>
        <w:jc w:val="center"/>
        <w:rPr>
          <w:b/>
          <w:color w:val="000000"/>
          <w:u w:color="000000"/>
        </w:rPr>
      </w:pPr>
    </w:p>
    <w:p w14:paraId="3C216826" w14:textId="00E326B3" w:rsidR="00D649C0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MONITOROWANIE I OCENA</w:t>
      </w:r>
    </w:p>
    <w:p w14:paraId="68A53D50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28. </w:t>
      </w:r>
      <w:r>
        <w:t>1. </w:t>
      </w:r>
      <w:r>
        <w:rPr>
          <w:color w:val="000000"/>
          <w:u w:color="000000"/>
        </w:rPr>
        <w:t>System kontroli zarządczej w Urzędzie podlega bieżącemu monitorowaniu</w:t>
      </w:r>
      <w:r>
        <w:rPr>
          <w:color w:val="000000"/>
          <w:u w:color="000000"/>
        </w:rPr>
        <w:br/>
        <w:t>i ocenie, umożliwiającym sprawne rozwiązywanie zidentyfikowanych problemów.</w:t>
      </w:r>
    </w:p>
    <w:p w14:paraId="262E1927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ramach monitorowania systemu kontroli zarządczej, pracownicy zobowiązani są do przekazywania wszelkich informacji, które mogą wpływać na ocenę działania,</w:t>
      </w:r>
      <w:r>
        <w:rPr>
          <w:color w:val="000000"/>
          <w:u w:color="000000"/>
        </w:rPr>
        <w:br/>
        <w:t>w szczególności:</w:t>
      </w:r>
    </w:p>
    <w:p w14:paraId="5187C702" w14:textId="77777777" w:rsidR="00D649C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różnic inwentaryzacyjnych,</w:t>
      </w:r>
    </w:p>
    <w:p w14:paraId="60EA6966" w14:textId="77777777" w:rsidR="00D649C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wykrytych oszustw i manipulacji,</w:t>
      </w:r>
    </w:p>
    <w:p w14:paraId="1BDA4772" w14:textId="77777777" w:rsidR="00D649C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uwag zewnętrznych organów nadzoru lub kontroli,</w:t>
      </w:r>
    </w:p>
    <w:p w14:paraId="1FF3AEA4" w14:textId="77777777" w:rsidR="00D649C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skarg pracowników, oferentów i dostawców.</w:t>
      </w:r>
    </w:p>
    <w:p w14:paraId="627F9554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Każdy pracownik ma możliwość zgłaszania uwag na temat funkcjonowania kontroli zarządczej oraz sugestii dotyczących jej usprawnienia lub modyfikacji.</w:t>
      </w:r>
    </w:p>
    <w:p w14:paraId="5390A9DB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Samodzielni specjaliści dokonują raz w roku samooceny funkcjonowania kontroli zarządczej.</w:t>
      </w:r>
    </w:p>
    <w:p w14:paraId="6FD11770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Burmistrz składa corocznie oświadczenie o stanie kontroli zarządczej za poprzedni rok.</w:t>
      </w:r>
    </w:p>
    <w:p w14:paraId="437D1E92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Wyniki kontroli i oceny służą do:</w:t>
      </w:r>
    </w:p>
    <w:p w14:paraId="320A9CAF" w14:textId="7EEDC574" w:rsidR="00D649C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ustalenia czy nie nastąpiło naruszenie dyscypliny finansów publicznych oraz innych aktów prawnych i procedur wynikających z przepisów wewnętrznych</w:t>
      </w:r>
      <w:r w:rsidR="00865FF8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zakresie gromadzenia środków, realizacji wydatków i gospodarowania mieniem,</w:t>
      </w:r>
    </w:p>
    <w:p w14:paraId="5C29B0A7" w14:textId="77777777" w:rsidR="00D649C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wszczęcia postępowania wyjaśniającego i dyscyplinarnego w przypadku wystąpienia nieprawidłowości,</w:t>
      </w:r>
    </w:p>
    <w:p w14:paraId="466AD0A8" w14:textId="77777777" w:rsidR="00D649C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podjęcia działań w celu usunięcia stwierdzonych nieprawidłowości oraz zapobiegania powstawaniu ich w przyszłości,</w:t>
      </w:r>
    </w:p>
    <w:p w14:paraId="0AD39CA5" w14:textId="77777777" w:rsidR="00D649C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doprowadzenia do zgodności postępowania z ogólnie obowiązującymi regulaminami i wewnętrznymi instrukcjami, przepisami prawa oraz prawa lokalnego.</w:t>
      </w:r>
    </w:p>
    <w:p w14:paraId="58231C09" w14:textId="77777777" w:rsidR="00346AAF" w:rsidRDefault="00346AAF">
      <w:pPr>
        <w:spacing w:before="120" w:after="120"/>
        <w:jc w:val="center"/>
        <w:rPr>
          <w:b/>
          <w:color w:val="000000"/>
          <w:u w:color="000000"/>
        </w:rPr>
      </w:pPr>
    </w:p>
    <w:p w14:paraId="732D10B9" w14:textId="160BA76F" w:rsidR="00D649C0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SAMOOCENA</w:t>
      </w:r>
    </w:p>
    <w:p w14:paraId="22E77E8C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29. </w:t>
      </w:r>
      <w:r>
        <w:t>1. </w:t>
      </w:r>
      <w:r>
        <w:rPr>
          <w:color w:val="000000"/>
          <w:u w:color="000000"/>
        </w:rPr>
        <w:t>Co najmniej raz w roku osoby zarządzające i uprawnieni pracownicy przeprowadzają samoocenę systemu kontroli zarządczej</w:t>
      </w:r>
    </w:p>
    <w:p w14:paraId="25EE85B8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Proces samooceny regulują „</w:t>
      </w:r>
      <w:r>
        <w:rPr>
          <w:i/>
          <w:color w:val="000000"/>
          <w:u w:color="000000"/>
        </w:rPr>
        <w:t>Procedury samooceny kontroli zarządczej w Urzędzie</w:t>
      </w:r>
    </w:p>
    <w:p w14:paraId="4A8CBAE9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Proces samooceny jest dokumentowany za pomocą „</w:t>
      </w:r>
      <w:r>
        <w:rPr>
          <w:i/>
          <w:color w:val="000000"/>
          <w:u w:color="000000"/>
        </w:rPr>
        <w:t>Ankiety do samooceny kontroli zarządczej</w:t>
      </w:r>
      <w:r>
        <w:rPr>
          <w:color w:val="000000"/>
          <w:u w:color="000000"/>
        </w:rPr>
        <w:t>”</w:t>
      </w:r>
    </w:p>
    <w:p w14:paraId="0FD5E20D" w14:textId="77777777" w:rsidR="00346AAF" w:rsidRDefault="00346AAF">
      <w:pPr>
        <w:spacing w:before="120" w:after="120"/>
        <w:jc w:val="center"/>
        <w:rPr>
          <w:b/>
          <w:color w:val="000000"/>
          <w:u w:color="000000"/>
        </w:rPr>
      </w:pPr>
    </w:p>
    <w:p w14:paraId="13EB5909" w14:textId="55F76B22" w:rsidR="00D649C0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UZYSKANIE ZAPEWNIENIA O STANIE KONTROLI ZARZĄDCZEJ</w:t>
      </w:r>
    </w:p>
    <w:p w14:paraId="46C36052" w14:textId="77777777" w:rsidR="00D649C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30. </w:t>
      </w:r>
      <w:r>
        <w:t>1. </w:t>
      </w:r>
      <w:r>
        <w:rPr>
          <w:color w:val="000000"/>
          <w:u w:color="000000"/>
        </w:rPr>
        <w:t>Źródłem uzyskania zapewnienia o stanie kontroli zarządczej są w szczególności wyniki monitorowania, samooceny i przeprowadzonych audytów oraz kontroli</w:t>
      </w:r>
    </w:p>
    <w:p w14:paraId="50531084" w14:textId="178C6393" w:rsidR="00D649C0" w:rsidRDefault="00000000">
      <w:pPr>
        <w:keepLines/>
        <w:spacing w:before="120" w:after="120"/>
        <w:ind w:firstLine="340"/>
        <w:rPr>
          <w:color w:val="000000"/>
          <w:u w:color="000000"/>
        </w:rPr>
        <w:sectPr w:rsidR="00D649C0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t>2. </w:t>
      </w:r>
      <w:r>
        <w:rPr>
          <w:color w:val="000000"/>
          <w:u w:color="000000"/>
        </w:rPr>
        <w:t>Coroczne potwierdzenie uzyskania powyższego zapewnienia wystawiane jest</w:t>
      </w:r>
      <w:r w:rsidR="00346AAF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formie oświadczenia</w:t>
      </w:r>
      <w:r w:rsidR="00346AAF">
        <w:rPr>
          <w:color w:val="000000"/>
          <w:u w:color="000000"/>
        </w:rPr>
        <w:t xml:space="preserve"> </w:t>
      </w:r>
      <w:proofErr w:type="spellStart"/>
      <w:r w:rsidR="00346AAF">
        <w:rPr>
          <w:color w:val="000000"/>
          <w:u w:color="000000"/>
        </w:rPr>
        <w:t>bn</w:t>
      </w:r>
      <w:r>
        <w:rPr>
          <w:color w:val="000000"/>
          <w:u w:color="000000"/>
        </w:rPr>
        <w:t>o</w:t>
      </w:r>
      <w:proofErr w:type="spellEnd"/>
      <w:r>
        <w:rPr>
          <w:color w:val="000000"/>
          <w:u w:color="000000"/>
        </w:rPr>
        <w:t> stanie kontroli zarządczej za poprzedni rok.</w:t>
      </w:r>
    </w:p>
    <w:p w14:paraId="1DAD72EB" w14:textId="77777777" w:rsidR="00D649C0" w:rsidRDefault="00000000">
      <w:pPr>
        <w:spacing w:before="120" w:after="120" w:line="360" w:lineRule="auto"/>
        <w:ind w:left="5999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 do Załącznika Nr 1</w:t>
      </w:r>
      <w:r>
        <w:rPr>
          <w:color w:val="000000"/>
          <w:u w:color="000000"/>
        </w:rPr>
        <w:br/>
        <w:t>do zarządzenia Nr 36/2025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 3 marca 2025 r.</w:t>
      </w:r>
    </w:p>
    <w:p w14:paraId="221E687B" w14:textId="77777777" w:rsidR="00D649C0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Imię .....................................................................................</w:t>
      </w:r>
    </w:p>
    <w:p w14:paraId="039AF8A0" w14:textId="77777777" w:rsidR="00D649C0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Nazwisko ............................................................................</w:t>
      </w:r>
    </w:p>
    <w:p w14:paraId="6B40BF9B" w14:textId="77777777" w:rsidR="00D649C0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Stanowisko .........................................................................</w:t>
      </w:r>
    </w:p>
    <w:p w14:paraId="1FA4604C" w14:textId="77777777" w:rsidR="00346AAF" w:rsidRDefault="00346AAF">
      <w:pPr>
        <w:spacing w:before="120" w:after="120"/>
        <w:ind w:firstLine="227"/>
        <w:jc w:val="center"/>
        <w:rPr>
          <w:b/>
          <w:color w:val="000000"/>
          <w:u w:color="000000"/>
        </w:rPr>
      </w:pPr>
    </w:p>
    <w:p w14:paraId="5CBBEF89" w14:textId="77777777" w:rsidR="00346AAF" w:rsidRDefault="00346AAF">
      <w:pPr>
        <w:spacing w:before="120" w:after="120"/>
        <w:ind w:firstLine="227"/>
        <w:jc w:val="center"/>
        <w:rPr>
          <w:b/>
          <w:color w:val="000000"/>
          <w:u w:color="000000"/>
        </w:rPr>
      </w:pPr>
    </w:p>
    <w:p w14:paraId="2E0380F7" w14:textId="000F0EEB" w:rsidR="00D649C0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</w:t>
      </w:r>
    </w:p>
    <w:p w14:paraId="44B540B9" w14:textId="77777777" w:rsidR="00346AAF" w:rsidRDefault="00346AAF">
      <w:pPr>
        <w:spacing w:before="120" w:after="120"/>
        <w:ind w:firstLine="227"/>
        <w:rPr>
          <w:color w:val="000000"/>
          <w:u w:color="000000"/>
        </w:rPr>
      </w:pPr>
    </w:p>
    <w:p w14:paraId="57774DAF" w14:textId="6D8C9176" w:rsidR="00D649C0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Uprzedzona/y o odpowiedzialności porządkowej i dyscyplinarnej, oświadczam, że zapoznałem(</w:t>
      </w:r>
      <w:proofErr w:type="spellStart"/>
      <w:r>
        <w:rPr>
          <w:color w:val="000000"/>
          <w:u w:color="000000"/>
        </w:rPr>
        <w:t>am</w:t>
      </w:r>
      <w:proofErr w:type="spellEnd"/>
      <w:r>
        <w:rPr>
          <w:color w:val="000000"/>
          <w:u w:color="000000"/>
        </w:rPr>
        <w:t xml:space="preserve">) się z postanowieniami </w:t>
      </w:r>
      <w:r>
        <w:rPr>
          <w:b/>
          <w:color w:val="000000"/>
          <w:u w:color="000000"/>
        </w:rPr>
        <w:t xml:space="preserve">Procedur kontroli zarządczej w UM w Barwicach </w:t>
      </w:r>
      <w:r>
        <w:rPr>
          <w:color w:val="000000"/>
          <w:u w:color="000000"/>
        </w:rPr>
        <w:t>i zobowiązuję się do przestrzegania zasad z nich wynikających.</w:t>
      </w:r>
    </w:p>
    <w:p w14:paraId="7E41E6A7" w14:textId="77777777" w:rsidR="00346AAF" w:rsidRDefault="00346AAF">
      <w:pPr>
        <w:spacing w:before="120" w:after="120"/>
        <w:ind w:firstLine="227"/>
        <w:rPr>
          <w:color w:val="000000"/>
          <w:u w:color="000000"/>
        </w:rPr>
      </w:pPr>
    </w:p>
    <w:p w14:paraId="7EFB05EE" w14:textId="77777777" w:rsidR="00346AAF" w:rsidRDefault="00346AAF">
      <w:pPr>
        <w:spacing w:before="120" w:after="120"/>
        <w:ind w:firstLine="227"/>
        <w:rPr>
          <w:color w:val="000000"/>
          <w:u w:color="000000"/>
        </w:rPr>
      </w:pPr>
    </w:p>
    <w:p w14:paraId="72C73DE2" w14:textId="77777777" w:rsidR="00346AAF" w:rsidRDefault="00346AAF">
      <w:pPr>
        <w:spacing w:before="120" w:after="120"/>
        <w:ind w:firstLine="227"/>
        <w:rPr>
          <w:color w:val="000000"/>
          <w:u w:color="000000"/>
        </w:rPr>
      </w:pPr>
    </w:p>
    <w:p w14:paraId="16EC1721" w14:textId="77777777" w:rsidR="00D649C0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…………………….</w:t>
      </w:r>
      <w:r>
        <w:rPr>
          <w:color w:val="000000"/>
          <w:u w:color="000000"/>
        </w:rPr>
        <w:tab/>
        <w:t>……………………………………</w:t>
      </w:r>
      <w:r>
        <w:rPr>
          <w:color w:val="000000"/>
          <w:u w:color="000000"/>
        </w:rPr>
        <w:br/>
        <w:t>data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czytelny podpis pracownika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sectPr w:rsidR="00D649C0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A15F2"/>
    <w:rsid w:val="00202725"/>
    <w:rsid w:val="00246741"/>
    <w:rsid w:val="00346AAF"/>
    <w:rsid w:val="0065754E"/>
    <w:rsid w:val="00865FF8"/>
    <w:rsid w:val="00A43F8A"/>
    <w:rsid w:val="00A77B3E"/>
    <w:rsid w:val="00B44201"/>
    <w:rsid w:val="00CA2A55"/>
    <w:rsid w:val="00CE00E2"/>
    <w:rsid w:val="00D64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7B16AB"/>
  <w15:docId w15:val="{CA3C617F-CD3F-470C-A8E2-03D9BB37D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2672</Words>
  <Characters>15154</Characters>
  <Application>Microsoft Office Word</Application>
  <DocSecurity>0</DocSecurity>
  <Lines>606</Lines>
  <Paragraphs>469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36/2025 z dnia 3 marca 2025 r.</vt:lpstr>
      <vt:lpstr/>
    </vt:vector>
  </TitlesOfParts>
  <Company>Burmistrz Barwic</Company>
  <LinksUpToDate>false</LinksUpToDate>
  <CharactersWithSpaces>17357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36/2025 z dnia 3 marca 2025 r.</dc:title>
  <dc:subject>w^sprawie wprowadzenia Procedur kontroli zarządczej</dc:subject>
  <dc:creator>Kusmierek_A</dc:creator>
  <cp:lastModifiedBy>gminabarwice@outlook.com</cp:lastModifiedBy>
  <cp:revision>2</cp:revision>
  <dcterms:created xsi:type="dcterms:W3CDTF">2025-03-03T11:09:00Z</dcterms:created>
  <dcterms:modified xsi:type="dcterms:W3CDTF">2025-03-03T11:09:00Z</dcterms:modified>
  <cp:category>Akt prawny</cp:category>
</cp:coreProperties>
</file>