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A099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XII/65/2024</w:t>
      </w:r>
      <w:r>
        <w:rPr>
          <w:b/>
          <w:caps/>
        </w:rPr>
        <w:br/>
        <w:t>Rady Miejskiej w Barwicach</w:t>
      </w:r>
    </w:p>
    <w:p w14:paraId="6220233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05F45BB0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budżetu Gminy Barwice na rok 2025</w:t>
      </w:r>
    </w:p>
    <w:p w14:paraId="0A6E2CD5" w14:textId="77777777" w:rsidR="00A77B3E" w:rsidRDefault="00000000">
      <w:pPr>
        <w:keepLines/>
        <w:spacing w:before="120" w:after="120"/>
        <w:ind w:firstLine="227"/>
      </w:pPr>
      <w:r>
        <w:t>Na podstawie art. 18 ust. 2 pkt 4 ustawy z dnia 8 marca 1990 r. o samorządzie gminnym (t.j. Dz. U. z 2024 r. poz. 1465 z późn. zm.), Rada Miejska w Barwicach uchwala, co następuje:</w:t>
      </w:r>
    </w:p>
    <w:p w14:paraId="3FBA9C3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dochody budżetu (załącznik nr 1) w kwocie</w:t>
      </w:r>
      <w:r>
        <w:tab/>
        <w:t>- 76.413.508,67 zł z tego:</w:t>
      </w:r>
    </w:p>
    <w:p w14:paraId="750752E6" w14:textId="77777777" w:rsidR="00A77B3E" w:rsidRDefault="00000000">
      <w:pPr>
        <w:spacing w:before="120" w:after="120"/>
        <w:ind w:left="340" w:firstLine="340"/>
      </w:pPr>
      <w:r>
        <w:t>1) dochody bieżące</w:t>
      </w:r>
      <w:r>
        <w:tab/>
        <w:t>- 52.273.386,00 zł</w:t>
      </w:r>
    </w:p>
    <w:p w14:paraId="350443DB" w14:textId="77777777" w:rsidR="00A77B3E" w:rsidRDefault="00000000">
      <w:pPr>
        <w:spacing w:before="120" w:after="120"/>
        <w:ind w:left="340" w:firstLine="340"/>
      </w:pPr>
      <w:r>
        <w:t>2) dochody majątkowe</w:t>
      </w:r>
      <w:r>
        <w:tab/>
        <w:t>- 24.140.122,67 zł</w:t>
      </w:r>
    </w:p>
    <w:p w14:paraId="7FABFD9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wydatki budżetu (załącznik nr 2) w kwocie</w:t>
      </w:r>
      <w:r>
        <w:tab/>
        <w:t>- 76.298.778,67 zł z tego:</w:t>
      </w:r>
    </w:p>
    <w:p w14:paraId="042CDD02" w14:textId="77777777" w:rsidR="00A77B3E" w:rsidRDefault="00000000">
      <w:pPr>
        <w:spacing w:before="120" w:after="120"/>
        <w:ind w:left="340" w:firstLine="340"/>
      </w:pPr>
      <w:r>
        <w:t>1) wydatki bieżące</w:t>
      </w:r>
      <w:r>
        <w:tab/>
        <w:t>- 51.036.675,92 zł</w:t>
      </w:r>
    </w:p>
    <w:p w14:paraId="4827441B" w14:textId="77777777" w:rsidR="00A77B3E" w:rsidRDefault="00000000">
      <w:pPr>
        <w:spacing w:before="120" w:after="120"/>
        <w:ind w:left="340" w:firstLine="340"/>
      </w:pPr>
      <w:r>
        <w:t>2) wydatki majątkowe</w:t>
      </w:r>
      <w:r>
        <w:tab/>
        <w:t>- 25.262.102,75 zł</w:t>
      </w:r>
    </w:p>
    <w:p w14:paraId="256CAA5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</w:rPr>
        <w:tab/>
        <w:t> </w:t>
      </w:r>
      <w:r>
        <w:rPr>
          <w:color w:val="000000"/>
          <w:u w:color="000000"/>
        </w:rPr>
        <w:t>Ustala się planowaną nadwyżkę budżetu w kwocie - 114.730,00 zł, która zostanie przeznaczona na spłatę rat kredytów</w:t>
      </w:r>
    </w:p>
    <w:p w14:paraId="54D04A2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Ustala się przychody i rozchody budżetu (załącznik nr 3) w kwotach:</w:t>
      </w:r>
    </w:p>
    <w:p w14:paraId="55B8FBD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przychody:</w:t>
      </w:r>
      <w:r>
        <w:rPr>
          <w:color w:val="000000"/>
          <w:u w:color="000000"/>
        </w:rPr>
        <w:tab/>
        <w:t>-653.602,00 zł</w:t>
      </w:r>
    </w:p>
    <w:p w14:paraId="34A1C90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rozchody</w:t>
      </w:r>
      <w:r>
        <w:rPr>
          <w:color w:val="000000"/>
          <w:u w:color="000000"/>
        </w:rPr>
        <w:tab/>
        <w:t>-768.332,00 zł</w:t>
      </w:r>
    </w:p>
    <w:p w14:paraId="3DAB248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budżecie tworzy się rezerwy:</w:t>
      </w:r>
    </w:p>
    <w:p w14:paraId="69A463D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ogólną w kwocie</w:t>
      </w:r>
      <w:r>
        <w:rPr>
          <w:color w:val="000000"/>
          <w:u w:color="000000"/>
        </w:rPr>
        <w:tab/>
        <w:t>- 150.000,00 zł</w:t>
      </w:r>
    </w:p>
    <w:p w14:paraId="62964BE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celową w kwocie</w:t>
      </w:r>
      <w:r>
        <w:rPr>
          <w:color w:val="000000"/>
          <w:u w:color="000000"/>
        </w:rPr>
        <w:tab/>
        <w:t>-160.000,00 zł z przeznaczeniem na realizację zadań z zakresu zarządzania kryzysowego</w:t>
      </w:r>
      <w:r>
        <w:rPr>
          <w:color w:val="000000"/>
          <w:u w:color="000000"/>
        </w:rPr>
        <w:tab/>
      </w:r>
    </w:p>
    <w:p w14:paraId="3AEAA3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Dochody i wydatki związane z realizacją zadań z zakresu administracji rządowej</w:t>
      </w:r>
      <w:r>
        <w:rPr>
          <w:color w:val="000000"/>
          <w:u w:color="000000"/>
        </w:rPr>
        <w:br/>
        <w:t>i innych zleconych jednostce samorządu terytorialnego odrębnymi ustawami  zgodnie z załącznikiem nr 4</w:t>
      </w:r>
    </w:p>
    <w:p w14:paraId="569DA2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Ustala się wydatki jednostek pomocniczych zgodnie z załącznikiem  nr 5a i 5b</w:t>
      </w:r>
    </w:p>
    <w:p w14:paraId="787908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Ustala się dotacje:</w:t>
      </w:r>
    </w:p>
    <w:p w14:paraId="56516A4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jednostek sektora finansów publicznych zgodnie z załącznikiem  nr 6</w:t>
      </w:r>
    </w:p>
    <w:p w14:paraId="0C67901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jednostek spoza sektora finansów publicznych zgodnie z załącznikiem nr 6a oraz 7</w:t>
      </w:r>
    </w:p>
    <w:p w14:paraId="7C0FC22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Ustala się wydatki na inwestycje realizowane w roku budżetowym 2025 zgodnie z załącznikiem nr 8.</w:t>
      </w:r>
    </w:p>
    <w:p w14:paraId="03995A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Ustala się dochody i wydatki określone przepisami ustawy o utrzymaniu czystości i porządku w gminach zgodnie z załącznik nr 9:</w:t>
      </w:r>
    </w:p>
    <w:p w14:paraId="2D28D0C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z tytułu wpływów z innych lokalnych opłat pobieranych przez jednostki samorządu terytorialnego na podstawie odrębnych ustaw</w:t>
      </w:r>
      <w:r>
        <w:rPr>
          <w:color w:val="000000"/>
          <w:u w:color="000000"/>
        </w:rPr>
        <w:tab/>
      </w:r>
    </w:p>
    <w:p w14:paraId="11DE0F4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związane z gospodarką odpadami</w:t>
      </w:r>
      <w:r>
        <w:rPr>
          <w:color w:val="000000"/>
          <w:u w:color="000000"/>
        </w:rPr>
        <w:tab/>
      </w:r>
    </w:p>
    <w:p w14:paraId="0EFBE3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Ustala się dochody i wydatki planowane na podstawie ustawy Prawo ochrony środowiska zgodnie z załącznikiem nr 10:</w:t>
      </w:r>
    </w:p>
    <w:p w14:paraId="7053190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wpływy związane z gromadzeniem środków z opłat i kar za korzystanie ze środowiska</w:t>
      </w:r>
      <w:r>
        <w:rPr>
          <w:color w:val="000000"/>
          <w:u w:color="000000"/>
        </w:rPr>
        <w:tab/>
      </w:r>
    </w:p>
    <w:p w14:paraId="3EF54EC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na podstawie ustawy Prawo ochrony środowiska</w:t>
      </w:r>
      <w:r>
        <w:rPr>
          <w:color w:val="000000"/>
          <w:u w:color="000000"/>
        </w:rPr>
        <w:tab/>
      </w:r>
    </w:p>
    <w:p w14:paraId="63DD26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Ustala się dochody w kwocie z tytułu wydawania zezwoleń na sprzedaż napojów alkoholowych zgodnie z załącznikiem nr 11</w:t>
      </w:r>
    </w:p>
    <w:p w14:paraId="361AEB65" w14:textId="05B0D981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Ustala się wydatki na realizację zadań określonych w gminnym programie profilaktyki i rozwiązywania problemów alkoholowych</w:t>
      </w:r>
    </w:p>
    <w:p w14:paraId="41C554F0" w14:textId="3CB5A2F1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Ustala się wydatki na realizację zadań określonych w gminnym programie przeciwdziałania narkomanii</w:t>
      </w:r>
    </w:p>
    <w:p w14:paraId="4A584D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dochody i wydatki związane z realizacją zadań z Rządowego Funduszu Polski Ład zgodnie z załącznik nr 12</w:t>
      </w:r>
    </w:p>
    <w:p w14:paraId="38A06C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Ustala się dochody i wydatki z Fundusz Rozwoju przewozów autobusowych o charakterze użyteczności publicznej zgodnie z załącznik nr 13</w:t>
      </w:r>
    </w:p>
    <w:p w14:paraId="7D66B36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Ustala się limity zobowiązań z tytułu zaciągniętych kredytów i pożyczek oraz emitowanych papierów wartościowych na:</w:t>
      </w:r>
    </w:p>
    <w:p w14:paraId="67FDB84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pokrycie występującego w ciągu roku przejściowego deficytu budżetu jednostki samorządu terytorialnego, do kwoty 2.000.000,00 zł</w:t>
      </w:r>
    </w:p>
    <w:p w14:paraId="0B92923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Upoważnia się Burmistrza do zaciągania kredytów i pożyczek oraz emitowania papierów wartościowych, o których mowa w § 15 do wysokości kwot w nim określonych</w:t>
      </w:r>
    </w:p>
    <w:p w14:paraId="11004A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Upoważnia się Zarząd do:</w:t>
      </w:r>
    </w:p>
    <w:p w14:paraId="5342A03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dochodów i wydatków związanych ze zmianą kwot lub uzyskaniem dotacji przekazywanych z budżetu państwa, z budżetów innych jednostek samorządu terytorialnego oraz innych jednostek sektora finansów publicznych;</w:t>
      </w:r>
    </w:p>
    <w:p w14:paraId="3E0966F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zmian dochodów jednostki samorządu terytorialnego, wynikających ze zmian kwot subwencji w wyniku podziału rezerw subwencji ogólnej;</w:t>
      </w:r>
    </w:p>
    <w:p w14:paraId="09BF539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zmian wydatków jednostki samorządu terytorialnego w ramach działu w zakresie wydatków bieżących, z wyjątkiem zmian planu wydatków na uposażenia i wynagrodzenia ze stosunku pracy, o ile odrębne przepisy nie stanowią inaczej;</w:t>
      </w:r>
    </w:p>
    <w:p w14:paraId="0BF797F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dokonywania zmian dochodów i wydatków jednostki samorządu terytorialnego związanych ze zwrotem dotacji otrzymanych z budżetu państwa lub innych jednostek samorządu terytorialnego;</w:t>
      </w:r>
    </w:p>
    <w:p w14:paraId="348E723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innych zmian w planie wydatków niż określone w pkt. 1-4, z wyłączeniem przeniesień wydatków między działami;</w:t>
      </w:r>
    </w:p>
    <w:p w14:paraId="57C18A3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przekazania niektórych uprawnień do dokonywania przeniesień planowanych wydatków innym    jednostkom organizacyjnym Gminy;</w:t>
      </w:r>
    </w:p>
    <w:p w14:paraId="36E13E9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 zaciągania zobowiązań z tytułu umów, których realizacja w roku budżetowym i w latach następnych jest niezbędna do zapewnienia ciągłości działania jednostki i z których wynikające płatności wykraczają poza rok budżetowy;</w:t>
      </w:r>
    </w:p>
    <w:p w14:paraId="7A2A3CE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przekazania uprawnień innym jednostkom organizacyjnym do zaciągania zobowiązań z tytułu umów, których realizacja w roku budżetowym i w latach następnych jest niezbędna do zapewnienia ciągłości działania jednostki i z  których wynikające płatności wykraczają poza rok budżetowy;</w:t>
      </w:r>
    </w:p>
    <w:p w14:paraId="416F704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dokonywania zmian w budżecie w zakresie realizacji zadań dotyczących pomocy obywatelom Ukrainy w związku z konfliktem zbrojnym na terenie tego państwa polegających na zmianach w planie dochodów i wydatków, w tym dokonywania przeniesień wydatków między działami klasyfikacji budżetowej.</w:t>
      </w:r>
    </w:p>
    <w:p w14:paraId="6B32AE6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18. </w:t>
      </w:r>
      <w:r>
        <w:rPr>
          <w:color w:val="000000"/>
          <w:u w:color="000000"/>
        </w:rPr>
        <w:t>Uchwała wchodzi w życie z dniem 1 stycznia 2025 r. i podlega ogłoszeniu w Dzienniku Urzędowym Województwa Zachodniopomorskiego.</w:t>
      </w:r>
    </w:p>
    <w:p w14:paraId="12598D1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087A0B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3660" w14:paraId="211464D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2DB778" w14:textId="77777777" w:rsidR="00733660" w:rsidRDefault="0073366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E43D66" w14:textId="77777777" w:rsidR="0073366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BC8A172" w14:textId="48D238D3" w:rsidR="00A77B3E" w:rsidRDefault="00A77B3E" w:rsidP="000B3FB8">
      <w:pPr>
        <w:keepNext/>
        <w:spacing w:before="280" w:after="280" w:line="360" w:lineRule="auto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3FB8"/>
    <w:rsid w:val="001F0F96"/>
    <w:rsid w:val="001F62D2"/>
    <w:rsid w:val="00733660"/>
    <w:rsid w:val="00833D49"/>
    <w:rsid w:val="008A178F"/>
    <w:rsid w:val="00A77B3E"/>
    <w:rsid w:val="00A81A8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5EF73"/>
  <w15:docId w15:val="{98AC95DE-04EA-4797-943B-0A7A5BDA7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XII/65/2024 z dnia 30 grudnia 2024 r.</dc:title>
  <dc:subject>w sprawie uchwalenia budżetu Gminy Barwice na rok 2025</dc:subject>
  <dc:creator>Lorkiewicz_J</dc:creator>
  <cp:lastModifiedBy>gminabarwice@outlook.com</cp:lastModifiedBy>
  <cp:revision>5</cp:revision>
  <dcterms:created xsi:type="dcterms:W3CDTF">2024-12-30T12:14:00Z</dcterms:created>
  <dcterms:modified xsi:type="dcterms:W3CDTF">2025-01-23T11:58:00Z</dcterms:modified>
  <cp:category>Akt prawny</cp:category>
</cp:coreProperties>
</file>