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1CCC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XI/60/2024</w:t>
      </w:r>
      <w:r>
        <w:rPr>
          <w:b/>
          <w:caps/>
        </w:rPr>
        <w:br/>
        <w:t>Rady Miejskiej w Barwicach</w:t>
      </w:r>
    </w:p>
    <w:p w14:paraId="41595BD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1C25ECE7" w14:textId="77777777" w:rsidR="00A77B3E" w:rsidRDefault="00000000">
      <w:pPr>
        <w:keepNext/>
        <w:spacing w:after="480"/>
        <w:jc w:val="center"/>
      </w:pPr>
      <w:r>
        <w:rPr>
          <w:b/>
        </w:rPr>
        <w:t>w sprawie zaopiniowania projektu Audytu krajobrazowego województwa zachodniopomorskiego</w:t>
      </w:r>
    </w:p>
    <w:p w14:paraId="75FE158F" w14:textId="77777777" w:rsidR="00A77B3E" w:rsidRDefault="00000000">
      <w:pPr>
        <w:keepLines/>
        <w:spacing w:before="120" w:after="120"/>
        <w:ind w:firstLine="227"/>
      </w:pPr>
      <w:r>
        <w:t>Na podstawie art. 18 ust. 2 pkt 15 i art. 89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art. 38a i art. 38b ust. 2 pkt 2d 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1130) Rada Miejska w Barwicach uchwala, co następuje:</w:t>
      </w:r>
    </w:p>
    <w:p w14:paraId="2F8DFF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negatywnie opiniuje przedłożony jej przez Zarząd Województwa Zachodniopomorskiego projekt Audytu krajobrazowego województwa zachodniopomorskiego.</w:t>
      </w:r>
    </w:p>
    <w:p w14:paraId="7586B8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Uzasadnienie do uchwały stanowi jej załącznik.</w:t>
      </w:r>
    </w:p>
    <w:p w14:paraId="4C5A6C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4402FE6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E7144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00E31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C4549" w14:paraId="5FA8198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4F5A0" w14:textId="77777777" w:rsidR="003C4549" w:rsidRDefault="003C45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FAFCD" w14:textId="77777777" w:rsidR="003C454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EE8F40A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E6F7DA" w14:textId="77777777" w:rsidR="003C4549" w:rsidRDefault="003C4549">
      <w:pPr>
        <w:rPr>
          <w:szCs w:val="20"/>
        </w:rPr>
      </w:pPr>
    </w:p>
    <w:p w14:paraId="0CBF4655" w14:textId="77777777" w:rsidR="003C454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20F9E015" w14:textId="77777777" w:rsidR="003C454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dniu 29 października 2024 r. do Urzędu Miejskiego w Barwicach wpłynęło pismo Wicemarszałka Jakuba Kowalika – działającego z upoważnienia Zarządu Województwa Zachodniopomorskiego – o zaopiniowanie projektu Audytu krajobrazowego województwa zachodniopomorskiego w trybie przewidzianym w art. 38b ust. 2 pkt 2d ustawy z dnia 27 marca 2003 r. o planowaniu i zagospodarowaniu przestrzennym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2024 r. poz. 1130).</w:t>
      </w:r>
    </w:p>
    <w:p w14:paraId="2D1637C2" w14:textId="77777777" w:rsidR="003C454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Przedmiotowy projekt został przyjęty Uchwałą Nr 1589/24 Zarządu Województwa Zachodniopomorskiego z dnia 2 października 2024 r. w sprawie przyjęcia projektu Audytu krajobrazowego województwa zachodniopomorskiego i skierowania do opiniowania. Interaktywna mapa Audytu krajobrazowego województwa zachodniopomorskiego dostępna jest pod adresem: http://audytkrajobrazowy-projekt.rbgp.pl/mapa-krajobrazy.html.</w:t>
      </w:r>
    </w:p>
    <w:p w14:paraId="4865D4CF" w14:textId="77777777" w:rsidR="003C454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Rada Miejska w Barwicach, po zapoznaniu się z powyższymi materiałami, negatywnie opiniuje przedłożony jej przez Zarząd Województwa Zachodniopomorskiego projekt Audytu krajobrazowego województwa zachodniopomorskiego.</w:t>
      </w:r>
    </w:p>
    <w:p w14:paraId="05A1E00C" w14:textId="77777777" w:rsidR="003C454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wstępie należy wskazać, że z uwagi na walory przyrodnicze Gminy Barwice, aktualnie aż 61.94% całkowitej powierzchni Gminy objętych jest różnymi formami ochrony przyrody.</w:t>
      </w:r>
    </w:p>
    <w:p w14:paraId="2E1CCD7B" w14:textId="77777777" w:rsidR="003C454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Do najważniejszych prawnych form ochrony przyrody w Gminie Barwice należą :</w:t>
      </w:r>
    </w:p>
    <w:p w14:paraId="2203A61A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szCs w:val="20"/>
        </w:rPr>
        <w:t xml:space="preserve">NATURA 2000 - Dyrektywa siedliskowa PLH320007 - DORZECZE Parsęty - </w:t>
      </w:r>
      <w:r>
        <w:rPr>
          <w:color w:val="000000"/>
          <w:szCs w:val="20"/>
          <w:u w:color="000000"/>
        </w:rPr>
        <w:t>zatwierdzona jako obszar mający znaczenie dla Wspólnoty, zgodnie z decyzją Komisji Europejskiej 2012/14/EU z dnia 18 listopada 2011 roku w sprawie przyjęcia na mocy Dyrektywy Rady 92/43/EWG, piątego zaktualizowanego wykazu terenów mających znaczenie dla Wspólnoty składających się na kontynentalny region biogeograficzny (numer aktu notyfikacyjnego C(2011)8278);</w:t>
      </w:r>
    </w:p>
    <w:p w14:paraId="0107F2B0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NATURA 2000 - Dyrektywa ptasia - PLB320019 - Ostoja Drawska</w:t>
      </w:r>
      <w:r>
        <w:rPr>
          <w:color w:val="000000"/>
          <w:szCs w:val="20"/>
          <w:u w:color="000000"/>
        </w:rPr>
        <w:t xml:space="preserve"> - obszar wyznaczony rozporządzeniem Ministra Środowiska z dnia 12 stycznia 2011 roku w sprawie obszarów specjalnej ochrony ptaków (Dz. U. Nr 25 poz. 133 z </w:t>
      </w:r>
      <w:proofErr w:type="spellStart"/>
      <w:r>
        <w:rPr>
          <w:color w:val="000000"/>
          <w:szCs w:val="20"/>
          <w:u w:color="000000"/>
        </w:rPr>
        <w:t>późn</w:t>
      </w:r>
      <w:proofErr w:type="spellEnd"/>
      <w:r>
        <w:rPr>
          <w:color w:val="000000"/>
          <w:szCs w:val="20"/>
          <w:u w:color="000000"/>
        </w:rPr>
        <w:t>. zm.);</w:t>
      </w:r>
    </w:p>
    <w:p w14:paraId="28F6091B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NATURA 2000 - Jeziora Czaplineckie -</w:t>
      </w:r>
      <w:r>
        <w:rPr>
          <w:color w:val="000000"/>
          <w:szCs w:val="20"/>
          <w:u w:color="000000"/>
        </w:rPr>
        <w:t xml:space="preserve"> PLH320039 - DECYZJA KOMISJI z dnia 12 grudnia 2008r. przyjmująca na mocy dyrektywy Rady 92/43/EWG drugi zaktualizowany wykaz terenów mających znaczenie dla Wspólnoty składających się na kontynentalny region biogeograficzny (notyfikowany jako dokument nr C(2008)8039)(2009/93/WE);</w:t>
      </w:r>
    </w:p>
    <w:p w14:paraId="01C80903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Drawski Park Krajobrazowy -</w:t>
      </w:r>
      <w:r>
        <w:rPr>
          <w:color w:val="000000"/>
          <w:szCs w:val="20"/>
          <w:u w:color="000000"/>
        </w:rPr>
        <w:t xml:space="preserve"> utworzony na podstawie Uchwały nr XVI/49/79 Wojewódzkiej Rady Narodowej w Koszalinie z dnia 24 kwietnia 1979 (Dz. Urz. WRN w Koszalinie nr 6, poz. 13);</w:t>
      </w:r>
    </w:p>
    <w:p w14:paraId="720E598B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Przełom Rzeki Dębnicy - rezerwat przyrody</w:t>
      </w:r>
      <w:r>
        <w:rPr>
          <w:color w:val="000000"/>
          <w:szCs w:val="20"/>
          <w:u w:color="000000"/>
        </w:rPr>
        <w:t xml:space="preserve"> - Zarządzenie Nr 7/2009 Regionalnego Dyrektora Ochrony Środowiska w Szczecinie z 9 stycznia 2009 roku, (Dz. U. Województwa Zachodniopomorskiego z dnia 3 lutego 2009 Nr 5, poz. 193).</w:t>
      </w:r>
    </w:p>
    <w:p w14:paraId="2B8E1A74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 związku z powyższym ponad 16 tys. ha obszaru gminy Barwice objętych jest różnymi formami ochrony przyrody.</w:t>
      </w:r>
    </w:p>
    <w:p w14:paraId="0599AB23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Przedłożony projekt Audytu krajobrazowego województwa zachodniopomorskiego w części „Rekomendacje i wnioski dotyczące kształtowania krajobrazu priorytetowego” zakłada wprowadzenie bardziej rygorystycznych (od aktualnie już obowiązujących) form ochrony przyrody na terenie gminy Barwice, co jest nie tylko nieuzasadnione, ale także sprzeczne z zasadą zrównoważonego rozwoju i może sprowokować protesty społeczne.</w:t>
      </w:r>
    </w:p>
    <w:p w14:paraId="73470CC4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 analizowanym dokumencie zaleca się m.in. :</w:t>
      </w:r>
    </w:p>
    <w:p w14:paraId="07C1BE1B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przekształcenie gruntów ornych w trwałe użytki zielone na stokach o nachyleniu powyżej 10°,</w:t>
      </w:r>
    </w:p>
    <w:p w14:paraId="2EA6D1E0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ograniczenie nowej zabudowy do terenów istniejących wsi,</w:t>
      </w:r>
    </w:p>
    <w:p w14:paraId="50CE3D77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ustanowienie zespołu przyrodniczo-krajobrazowego „Sierakowo”,</w:t>
      </w:r>
    </w:p>
    <w:p w14:paraId="1318D5D3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- poszerzenie Drawskiego Parku Krajobrazowego o tereny do drogi wojewódzkiej nr 171, obejmujące obszar na południe od wsi </w:t>
      </w:r>
      <w:proofErr w:type="spellStart"/>
      <w:r>
        <w:rPr>
          <w:color w:val="000000"/>
          <w:szCs w:val="20"/>
          <w:u w:color="000000"/>
        </w:rPr>
        <w:t>Przybkówko</w:t>
      </w:r>
      <w:proofErr w:type="spellEnd"/>
      <w:r>
        <w:rPr>
          <w:color w:val="000000"/>
          <w:szCs w:val="20"/>
          <w:u w:color="000000"/>
        </w:rPr>
        <w:t xml:space="preserve"> wraz z Będkowską Górą,</w:t>
      </w:r>
    </w:p>
    <w:p w14:paraId="3ACFC017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ograniczenie zabudowy terenów otwartych oraz wyznaczenie maksymalnego zasięgu rozwoju jednostek osadniczych,</w:t>
      </w:r>
    </w:p>
    <w:p w14:paraId="4F091449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lastRenderedPageBreak/>
        <w:t>- ochronę układu pojedynczych zagród rozproszonych w całym obszarze krajobrazu,</w:t>
      </w:r>
    </w:p>
    <w:p w14:paraId="2A5C1DDF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- nowe budownictwo jako uzupełnienie istniejących struktur osadniczych, rekomenduje się w formie zabudowy wskazanej w części </w:t>
      </w:r>
      <w:proofErr w:type="spellStart"/>
      <w:r>
        <w:rPr>
          <w:color w:val="000000"/>
          <w:szCs w:val="20"/>
          <w:u w:color="000000"/>
        </w:rPr>
        <w:t>IVa</w:t>
      </w:r>
      <w:proofErr w:type="spellEnd"/>
      <w:r>
        <w:rPr>
          <w:color w:val="000000"/>
          <w:szCs w:val="20"/>
          <w:u w:color="000000"/>
        </w:rPr>
        <w:t xml:space="preserve"> z utrzymaniem lokalnych linii zabudowy, budynki mieszkalne sytuowane w pierwszej linii zabudowy z dopuszczeniem lokalizowania budynków gospodarczych wyłącznie w drugiej linii zabudowy; dopuszcza się inne parametry jeżeli wynikały one z planów miejscowych obowiązujących w dniu wejścia w życie audytu krajobrazowego,</w:t>
      </w:r>
    </w:p>
    <w:p w14:paraId="2AF2B653" w14:textId="77777777" w:rsidR="003C4549" w:rsidRDefault="00000000">
      <w:pPr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- w obszarze krajobrazu rekomenduje się także ograniczenia dotyczące budowy i parametrów domów wiejskich.</w:t>
      </w:r>
    </w:p>
    <w:p w14:paraId="3C495E7A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Zdaniem Rady Miejskiej w Barwicach proponowane rozwiązania są nie tylko naruszeniem wyrażonej w art. 5 Konstytucji Rzeczypospolitej Polskiej i w art. 1 ustawy z dnia 27 kwietnia 2001 r. Prawo ochrony środowiska (Dz. U. z 2024 r., poz. 54 z </w:t>
      </w:r>
      <w:proofErr w:type="spellStart"/>
      <w:r>
        <w:rPr>
          <w:color w:val="000000"/>
          <w:szCs w:val="20"/>
          <w:u w:color="000000"/>
        </w:rPr>
        <w:t>późn</w:t>
      </w:r>
      <w:proofErr w:type="spellEnd"/>
      <w:r>
        <w:rPr>
          <w:color w:val="000000"/>
          <w:szCs w:val="20"/>
          <w:u w:color="000000"/>
        </w:rPr>
        <w:t>. zm.) zasady zrównoważonego rozwoju, ale bezpośrednio zagrażają rozwojowi Gminy Barwice i zwiększają ryzyko dalszego exodusu lokalnej ludności.</w:t>
      </w:r>
    </w:p>
    <w:p w14:paraId="65BA3D5E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Zasada zrównoważonego rozwoju została wyrażona również w opracowanym w 2015 roku przez przywódców 193 krajów członkowskich ONZ dokumencie „Przekształcamy nasz świat: Agenda na Rzecz Zrównoważonego Rozwoju 2030”. Dokument ten zawiera 17 celów zrównoważonego rozwoju ONZ, które wskazują najważniejsze wyzwania naszych czasów w 5 obszarach: ludzie, planeta, dobrobyt, pokój i partnerstwo.</w:t>
      </w:r>
    </w:p>
    <w:p w14:paraId="34D13131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Wśród celów Agendy 2030 aż 10 z 17 dotyczy bezpośrednio poprawy jakości życia ludzi. Generalnie założeniem Agendy 2030 (tym samym zasady zrównoważonego rozwoju) jest poprawa jakości i warunków życia ludzi poprzez ochronę środowiska, w którym żyją, a także rozwój gospodarczy, stworzenie warunków do dobrobytu, rozwój infrastruktury i innowacyjność. Zdaniem Rady Miejskiej w Barwicach cztery ostatnie wymienione cele zasady zrównoważonego rozwoju całkowicie pominięto w projekcie Audytu krajobrazowego województwa zachodniopomorskiego w odniesieniu do Gminy Barwice.</w:t>
      </w:r>
    </w:p>
    <w:p w14:paraId="5858E9CF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Zarówno władze, jak i mieszkańcy Gminy rozumieją konieczność ochrony środowiska. Kwestionują jednak regularnie poszerzany zakres tej ochrony oraz ignorowanie faktu,  że człowiek też jest elementem środowiska i także zasługuje na ochronę i poszanowanie jego praw.</w:t>
      </w:r>
    </w:p>
    <w:p w14:paraId="660E8F33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Należy podkreślić, że obecnie obowiązujące na blisko 62% obszaru gminy, prawne formy ochrony środowiska już w odczuwalny sposób ograniczają możliwości jej rozwoju, prowadzenia działalności pozarolniczej i rozbudowy istniejącej infrastruktury. Powiększanie obszarów chronionych i stosowanie bardziej rygorystycznych regulacji w tym zakresie, rozwój praktycznie uniemożliwi, co jest niedopuszczalne.</w:t>
      </w:r>
    </w:p>
    <w:p w14:paraId="57989209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 uwagi na położenie, jednym z kierunków rozwoju Gminy Barwice jest turystyka, agroturystyka i turystyka przyrodnicza. Jednak rozwój tych rodzajów działalności, z uwagi na coraz większe  oczekiwania klientów i rosnącą konkurencję, wymaga rozbudowy gminnej infrastruktury oraz mniejszych ograniczeń w zakresie budownictwa mieszkaniowego i gospodarczego. Proponowane w projekcie Audytu rozwiązania poważnie zagrażają nie tylko rozwojowi tych form turystyki, ale mogą być problematyczne dla funkcjonowania gospodarstw agroturystycznych i obiektów turystycznych już istniejących.</w:t>
      </w:r>
    </w:p>
    <w:p w14:paraId="13273C70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Polityka polegająca na ograniczaniu możliwości rozwoju bez podania alternatywy, a do tego sprowadzają się proponowane zmiany, jest nieracjonalna. Od mieszkańców Gminy Barwice, którzy od wielu lat znoszą ograniczenia prawne w zakresie rozbudowy/budowy nieruchomości, prowadzenia działalności rolnej i pozarolniczej nie można oczekiwać dalszych ustępstw.</w:t>
      </w:r>
    </w:p>
    <w:p w14:paraId="63464E01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Dodatkowo, proponowane rozszerzenie obszarów chronionych nie jest uzasadnione także z przyrodniczego punktu widzenia. Populacje zgłoszonych na terenie Gminy przedmiotów ochrony (głównie ptaków) nie są zagrożone. Udowadnia to, że aktualnie obowiązujące formy ochrony prawnej środowiska są wystarczające i spełniają swoją funkcje. Projekt Audytu nie chroni zatem tego co jest, a próbuje, kosztem lokalnej ludności, chronić to co może kiedyś być. Na takie rozwiązania nie mogą zgodzić się ani władze Gminy Barwice, ani jej mieszkańcy.</w:t>
      </w:r>
    </w:p>
    <w:p w14:paraId="1B2B7AD8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Nie sposób pominąć również okoliczności, że obszary objęte audytem, które planowane są do objęcia ochroną, zostały wcześniej sprzedane pod inwestycje, z których część jest już w realizacji. Wprowadzenie dodatkowych restrykcji i ograniczeń zabudowy wynikających z zapisów audytu znacząco wpłynie na obniżenie atrakcyjności inwestycyjnej tych terenów, a także uniemożliwi realizację kluczowych projektów, m.in. w sektorze energii odnawialnej, nowoczesnych technologii oraz infrastruktury rekreacyjnej. Zapisy audytu dotyczące krajobrazów priorytetowych przewidują liczne restrykcje w zakresie zabudowy, użytkowania terenu </w:t>
      </w:r>
      <w:r>
        <w:rPr>
          <w:color w:val="000000"/>
          <w:szCs w:val="20"/>
          <w:u w:color="000000"/>
        </w:rPr>
        <w:lastRenderedPageBreak/>
        <w:t>oraz wprowadzenia nowych inwestycji, w tym m.in. zakazy dotyczące zabudowy otwartych przestrzeni, regulacje dotyczące wysokości i kształtu budynków, ograniczenia lokalizacji urządzeń technicznych oraz narzucenie określonych form architektonicznych. Jest to nadmierna ingerencja w prawo własności nieruchomości, która wprowadza restrykcje hamujące rozwój gmin.</w:t>
      </w:r>
    </w:p>
    <w:p w14:paraId="6E147B52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Należy nadmienić, że  w ostatnich kilkunastu miesiącach Gmina Barwice pozyskała kilku inwestorów, których zaplanowane i po części realizowane już inwestycje będą przełomowymi w historii barwickiego samorządu. Należą do nich :</w:t>
      </w:r>
    </w:p>
    <w:p w14:paraId="22CBE43D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val="single" w:color="000000"/>
        </w:rPr>
        <w:t>1.  Instalacje odnawialnych źródeł energii</w:t>
      </w:r>
      <w:r>
        <w:rPr>
          <w:color w:val="000000"/>
          <w:szCs w:val="20"/>
          <w:u w:color="000000"/>
        </w:rPr>
        <w:t xml:space="preserve">, w tym elektrownie wiatrowe wraz z infrastrukturą techniczną dla części obrębów Białowąs, Kłodzino, </w:t>
      </w:r>
      <w:proofErr w:type="spellStart"/>
      <w:r>
        <w:rPr>
          <w:color w:val="000000"/>
          <w:szCs w:val="20"/>
          <w:u w:color="000000"/>
        </w:rPr>
        <w:t>Łeknica</w:t>
      </w:r>
      <w:proofErr w:type="spellEnd"/>
      <w:r>
        <w:rPr>
          <w:color w:val="000000"/>
          <w:szCs w:val="20"/>
          <w:u w:color="000000"/>
        </w:rPr>
        <w:t xml:space="preserve">, Sulikowo w gminie Barwice - inwestycja wywołana Uchwałą Rady Miejskiej w Barwicach nr LXII/503/2023 z dnia 26 października 2023 r. w sprawie przystąpienia do sporządzenia miejscowego planu zagospodarowania przestrzennego dla części obrębów Białowąs, Kłodzino, </w:t>
      </w:r>
      <w:proofErr w:type="spellStart"/>
      <w:r>
        <w:rPr>
          <w:color w:val="000000"/>
          <w:szCs w:val="20"/>
          <w:u w:color="000000"/>
        </w:rPr>
        <w:t>Łeknica</w:t>
      </w:r>
      <w:proofErr w:type="spellEnd"/>
      <w:r>
        <w:rPr>
          <w:color w:val="000000"/>
          <w:szCs w:val="20"/>
          <w:u w:color="000000"/>
        </w:rPr>
        <w:t>, Sulikowo, w gminie Barwice. W sporządzanym planie miejscowym nie zostaną przekroczone następujące parametry:</w:t>
      </w:r>
    </w:p>
    <w:p w14:paraId="02FFBDEC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· maksymalna całkowita wysokość elektrowni wiatrowych: 280 metrów,</w:t>
      </w:r>
    </w:p>
    <w:p w14:paraId="2825BE55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· maksymalna średnica wirnika wraz z łopatami: 200 metrów,</w:t>
      </w:r>
    </w:p>
    <w:p w14:paraId="4B03942E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· maksymalna liczba elektrowni wiatrowych: 6 sztuk.</w:t>
      </w:r>
    </w:p>
    <w:p w14:paraId="63587643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Planowane tereny lokalizacji elektrowni wiatrowych znajdują się na obszarze lokalizacji siłowni wiatrowych wskazanych w obowiązującym Studium Uwarunkowań i Kierunków Zagospodarowania Przestrzennego miasta i gminy Barwice, dając tym samym kierunek do rozwoju wnioskowanych przez inwestora funkcji. Obszar objęty uchwałą uwzględnia ponadto tereny wymagane na podstawie ustawy o inwestycjach w zakresie elektrowni wiatrowych. </w:t>
      </w:r>
      <w:r>
        <w:rPr>
          <w:b/>
          <w:color w:val="000000"/>
          <w:szCs w:val="20"/>
          <w:u w:color="000000"/>
        </w:rPr>
        <w:t>Obszar objęty projektem planu obejmuje powierzchnię około 1025 ha.</w:t>
      </w:r>
    </w:p>
    <w:p w14:paraId="53BDC21A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val="single" w:color="000000"/>
        </w:rPr>
        <w:t xml:space="preserve">2. Rozbudowa biogazowni rolniczej </w:t>
      </w:r>
      <w:r>
        <w:rPr>
          <w:color w:val="000000"/>
          <w:szCs w:val="20"/>
          <w:u w:color="000000"/>
        </w:rPr>
        <w:t xml:space="preserve">- rozbudowa dotyczy biogazowni o mocy do 0,5 MW do mocy 3,0 MW. W ramach rozbudowy inwestycji inwestor rozważa opcjonalnie budowę instalacji </w:t>
      </w:r>
      <w:proofErr w:type="spellStart"/>
      <w:r>
        <w:rPr>
          <w:color w:val="000000"/>
          <w:szCs w:val="20"/>
          <w:u w:color="000000"/>
        </w:rPr>
        <w:t>biometanowni</w:t>
      </w:r>
      <w:proofErr w:type="spellEnd"/>
      <w:r>
        <w:rPr>
          <w:color w:val="000000"/>
          <w:szCs w:val="20"/>
          <w:u w:color="000000"/>
        </w:rPr>
        <w:t xml:space="preserve">. Planowana biogazownia jest obiektem zaliczanym do instalacji odnawialnych źródeł energii, w którym produkuje się biogaz (paliwo składające się z metanu, dwutlenku węgla oraz śladowo innych związków chemicznych) powstający w wyniku przetwarzania biomasy w postaci, m.in. produktów ubocznych oraz odpadów z rolnictwa, przemysłu rolno- spożywczego. Z biogazu w wyniku oczyszczania może być produkowany </w:t>
      </w:r>
      <w:proofErr w:type="spellStart"/>
      <w:r>
        <w:rPr>
          <w:color w:val="000000"/>
          <w:szCs w:val="20"/>
          <w:u w:color="000000"/>
        </w:rPr>
        <w:t>biometan</w:t>
      </w:r>
      <w:proofErr w:type="spellEnd"/>
      <w:r>
        <w:rPr>
          <w:color w:val="000000"/>
          <w:szCs w:val="20"/>
          <w:u w:color="000000"/>
        </w:rPr>
        <w:t xml:space="preserve">. Instalacja wpisuje się w światowe trendy rozwoju energetyki zmierzające w kierunku technologii wykorzystujących magazynowanie energii, odnawialne źródła energii oraz zapewniających powszechne bezpieczeństwo energetyczne. </w:t>
      </w:r>
      <w:r>
        <w:rPr>
          <w:b/>
          <w:color w:val="000000"/>
          <w:szCs w:val="20"/>
          <w:u w:color="000000"/>
        </w:rPr>
        <w:t>Obszar objęty inwestycją swym zakresem obejmuje działkę 117/5 obręb Stary Chwalim, gm. Barwice o powierzchni 1,137 ha.</w:t>
      </w:r>
    </w:p>
    <w:p w14:paraId="31CC5083" w14:textId="77777777" w:rsidR="003C4549" w:rsidRDefault="00000000">
      <w:pPr>
        <w:spacing w:before="120" w:after="120"/>
        <w:ind w:firstLine="227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val="single" w:color="000000"/>
        </w:rPr>
        <w:t xml:space="preserve">3. Ośrodek agroturystyczno - uzdrowiskowy (ekologiczny ośrodek przyszłości </w:t>
      </w:r>
      <w:proofErr w:type="spellStart"/>
      <w:r>
        <w:rPr>
          <w:b/>
          <w:color w:val="000000"/>
          <w:szCs w:val="20"/>
          <w:u w:val="single" w:color="000000"/>
        </w:rPr>
        <w:t>Sagaja</w:t>
      </w:r>
      <w:proofErr w:type="spellEnd"/>
      <w:r>
        <w:rPr>
          <w:b/>
          <w:color w:val="000000"/>
          <w:szCs w:val="20"/>
          <w:u w:val="single" w:color="000000"/>
        </w:rPr>
        <w:t>- Przestrzeń Dobrego Życia)</w:t>
      </w:r>
      <w:r>
        <w:rPr>
          <w:b/>
          <w:color w:val="000000"/>
          <w:szCs w:val="20"/>
          <w:u w:color="000000"/>
        </w:rPr>
        <w:t>.</w:t>
      </w:r>
      <w:r>
        <w:rPr>
          <w:color w:val="000000"/>
          <w:szCs w:val="20"/>
          <w:u w:color="000000"/>
        </w:rPr>
        <w:t xml:space="preserve"> Na terenie ośrodka znajdą się komfortowe, ekologiczne domy zaprojektowane z myślą o maksymalnym komforcie odwiedzających i poszanowaniu zasad zrównoważonego rozwoju. Kluczowym elementem będzie także produkcja ekologicznej żywności na miejscu, w nowoczesnych szklarniach, gdzie wykorzystuje się innowacyjne technologie – na przykład połączenie hodowli ryb i uprawy roślin, co pozwala na pełne wykorzystanie zasobów naturalnych. Nie zabraknie również obiektów sportowych i rekreacyjnych, takich jak korty tenisowe, boiska sportowe oraz sale do ćwiczeń, w tym </w:t>
      </w:r>
      <w:proofErr w:type="spellStart"/>
      <w:r>
        <w:rPr>
          <w:color w:val="000000"/>
          <w:szCs w:val="20"/>
          <w:u w:color="000000"/>
        </w:rPr>
        <w:t>pilates</w:t>
      </w:r>
      <w:proofErr w:type="spellEnd"/>
      <w:r>
        <w:rPr>
          <w:color w:val="000000"/>
          <w:szCs w:val="20"/>
          <w:u w:color="000000"/>
        </w:rPr>
        <w:t xml:space="preserve"> i joga. Obiekt będzie także centrum życia społecznego, sprzyjającym integracji i budowaniu relacji poprzez kino plenerowe, dancingi oraz inne formy wspólnej aktywności. Ważnym elementem przedsięwzięcia będzie również centrum szkoleniowo-warsztatowe, które umożliwi organizację ekologicznych szkoleń i warsztatów dla firm oraz zajęć rozwojowych. </w:t>
      </w:r>
      <w:r>
        <w:rPr>
          <w:b/>
          <w:color w:val="000000"/>
          <w:szCs w:val="20"/>
          <w:u w:color="000000"/>
        </w:rPr>
        <w:t>Obszar objęty inwestycją obejmuje działki: 5/10, 5/17,  5/21, 5/22 obręb Przybkowo, gm. Barwice o łącznej powierzchni około 100 ha.</w:t>
      </w:r>
    </w:p>
    <w:p w14:paraId="06398F1B" w14:textId="77777777" w:rsidR="003C4549" w:rsidRDefault="003C454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6933A64B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val="single" w:color="000000"/>
        </w:rPr>
        <w:t>4. Budowa elektrowni fotowoltaicznej o mocy do 60 MW</w:t>
      </w:r>
      <w:r>
        <w:rPr>
          <w:color w:val="000000"/>
          <w:szCs w:val="20"/>
          <w:u w:color="000000"/>
        </w:rPr>
        <w:t xml:space="preserve"> wraz ze stacjami transformatorowymi </w:t>
      </w:r>
      <w:proofErr w:type="spellStart"/>
      <w:r>
        <w:rPr>
          <w:color w:val="000000"/>
          <w:szCs w:val="20"/>
          <w:u w:color="000000"/>
        </w:rPr>
        <w:t>nn</w:t>
      </w:r>
      <w:proofErr w:type="spellEnd"/>
      <w:r>
        <w:rPr>
          <w:color w:val="000000"/>
          <w:szCs w:val="20"/>
          <w:u w:color="000000"/>
        </w:rPr>
        <w:t>/SN, magazynami energii oraz infrastrukturą towarzyszącą lub opcjonalnie także wraz z instalacją do produkcji wodoru (zielonego wodoru) o mocy do 30 MW wraz z infrastrukturą towarzyszącą</w:t>
      </w:r>
      <w:r>
        <w:rPr>
          <w:b/>
          <w:color w:val="000000"/>
          <w:szCs w:val="20"/>
          <w:u w:color="000000"/>
        </w:rPr>
        <w:t>. Obszar objęty inwestycją swym zakresem obejmuje działkę 240/1 obręb Ostrowąsy, gm. Barwice o powierzchni 65 ha.</w:t>
      </w:r>
    </w:p>
    <w:p w14:paraId="7D7F80E1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val="single" w:color="000000"/>
        </w:rPr>
        <w:t xml:space="preserve">5. Budowa instalacji do wytwarzania wodoru wraz z infrastrukturą towarzyszącą </w:t>
      </w:r>
      <w:r>
        <w:rPr>
          <w:color w:val="000000"/>
          <w:szCs w:val="20"/>
          <w:u w:color="000000"/>
        </w:rPr>
        <w:t xml:space="preserve">instalacja do wytwarzania wodoru nie wymaga naruszania i przekształcania siedlisk naturalnych, bądź półnaturalnych, usuwania drzew i krzewów, czy zajmowania siedlisk wrażliwych będących potencjalnym miejscem </w:t>
      </w:r>
      <w:r>
        <w:rPr>
          <w:color w:val="000000"/>
          <w:szCs w:val="20"/>
          <w:u w:color="000000"/>
        </w:rPr>
        <w:lastRenderedPageBreak/>
        <w:t xml:space="preserve">wytypowania gatunków chronionych. </w:t>
      </w:r>
      <w:r>
        <w:rPr>
          <w:b/>
          <w:color w:val="000000"/>
          <w:szCs w:val="20"/>
          <w:u w:color="000000"/>
        </w:rPr>
        <w:t>Obszar objęty inwestycją swym zakresem obejmuje działkę 2/3 obręb Białowąs, gm. Barwice o powierzchni 6,604 ha.</w:t>
      </w:r>
    </w:p>
    <w:p w14:paraId="1F803EB0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Każda z w/w inwestycji może być znacząco utrudniona lub wręcz uniemożliwiona przez wprowadzenie wytycznych i ograniczeń wynikających z audytu krajobrazowego, ponieważ wskazane w dotychczasowym projekcie audytu krajobrazowego wytyczne w zakresie formułowania rekomendacji i wniosków dotyczących kształtowania i ochrony krajobrazów priorytetowych oraz krajobrazów w obrębie obszarów lub obiektów, o których mowa w art. 38a ust. 3 pkt 2 ustawy z dnia 27 marca 2003 r. o planowaniu i zagospodarowaniu przestrzennym, w swej nazwie wskazują na rekomendacje, a często bywają zakazem, nakazem oraz ścisłym ograniczeniem korzystania z posiadanej nieruchomości.</w:t>
      </w:r>
    </w:p>
    <w:p w14:paraId="15F19EA9" w14:textId="77777777" w:rsidR="003C454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 xml:space="preserve">Z uwagi na powyższe Rada Miejska w Barwicach negatywnie opiniuje przedłożony jej przez Zarząd Województwa Zachodniopomorskiego projekt Audytu krajobrazowego województwa zachodniopomorskiego i - w odniesieniu do obszaru Gminy Barwice - wnosi o uwzględnienie w projekcie Audytu krajobrazowego województwa zachodniopomorskiego wyłącznie aktualnie obowiązujących prawnych form ochrony środowiska w obecnych granicach oraz rezygnację z proponowanego zwiększenia stref ochronnych i proponowanych ograniczeń w zakresie zabudowy.  </w:t>
      </w:r>
    </w:p>
    <w:p w14:paraId="71608020" w14:textId="77777777" w:rsidR="003C4549" w:rsidRDefault="0000000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ab/>
      </w:r>
    </w:p>
    <w:p w14:paraId="1E203773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54FBF8F0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6189F7EF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04F9897C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741BFE9C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71039916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3214C8EB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626CB6D0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7FAE226D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566B99C5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78F7033D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374431D9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4E3920E1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00AF49C9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5FAE42AA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3B4058C3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2E9A1073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6775DCEC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2FA93F13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0AE5809D" w14:textId="77777777" w:rsidR="003C4549" w:rsidRDefault="003C4549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p w14:paraId="2183D02B" w14:textId="77777777" w:rsidR="003C4549" w:rsidRDefault="003C4549">
      <w:pPr>
        <w:spacing w:before="120" w:after="120"/>
        <w:jc w:val="left"/>
        <w:rPr>
          <w:color w:val="000000"/>
          <w:szCs w:val="20"/>
          <w:u w:color="000000"/>
        </w:rPr>
      </w:pPr>
    </w:p>
    <w:sectPr w:rsidR="003C454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C4549"/>
    <w:rsid w:val="005C386C"/>
    <w:rsid w:val="00981D5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5C2C1"/>
  <w15:docId w15:val="{DEE94E06-26FB-4221-A903-201D15AEB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2176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XI/60/2024 z dnia 25 listopada 2024 r.</dc:title>
  <dc:subject>w sprawie zaopiniowania projektu Audytu krajobrazowego województwa zachodniopomorskiego</dc:subject>
  <dc:creator>Lorkiewicz_J</dc:creator>
  <cp:lastModifiedBy>Justyna Lorkiewicz</cp:lastModifiedBy>
  <cp:revision>2</cp:revision>
  <dcterms:created xsi:type="dcterms:W3CDTF">2024-11-26T08:57:00Z</dcterms:created>
  <dcterms:modified xsi:type="dcterms:W3CDTF">2024-11-26T08:57:00Z</dcterms:modified>
  <cp:category>Akt prawny</cp:category>
</cp:coreProperties>
</file>