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D76D8A" w14:textId="77777777" w:rsidR="00A77B3E" w:rsidRDefault="00000000">
      <w:pPr>
        <w:jc w:val="center"/>
        <w:rPr>
          <w:b/>
          <w:caps/>
        </w:rPr>
      </w:pPr>
      <w:r>
        <w:rPr>
          <w:b/>
          <w:caps/>
        </w:rPr>
        <w:t>Uchwała Nr X/41/2024</w:t>
      </w:r>
      <w:r>
        <w:rPr>
          <w:b/>
          <w:caps/>
        </w:rPr>
        <w:br/>
        <w:t>Rady Miejskiej w Barwicach</w:t>
      </w:r>
    </w:p>
    <w:p w14:paraId="11920E18" w14:textId="77777777" w:rsidR="00A77B3E" w:rsidRDefault="00000000">
      <w:pPr>
        <w:spacing w:before="280" w:after="280"/>
        <w:jc w:val="center"/>
        <w:rPr>
          <w:b/>
          <w:caps/>
        </w:rPr>
      </w:pPr>
      <w:r>
        <w:t>z dnia 29 października 2024 r.</w:t>
      </w:r>
    </w:p>
    <w:p w14:paraId="2B3362B8" w14:textId="77777777" w:rsidR="00A77B3E" w:rsidRDefault="00000000">
      <w:pPr>
        <w:keepNext/>
        <w:spacing w:after="480"/>
        <w:jc w:val="center"/>
      </w:pPr>
      <w:r>
        <w:rPr>
          <w:b/>
        </w:rPr>
        <w:t>w sprawie rozpatrzenia skargi na działalność Burmistrza Barwic</w:t>
      </w:r>
    </w:p>
    <w:p w14:paraId="6D5F08EE" w14:textId="77777777" w:rsidR="00A77B3E" w:rsidRDefault="00000000">
      <w:pPr>
        <w:keepLines/>
        <w:spacing w:before="120" w:after="120"/>
        <w:ind w:firstLine="227"/>
      </w:pPr>
      <w:r>
        <w:t>Na podstawie art. 18 ust. 2 pkt 15 ustawy z dnia 8 marca 1990 r. o samorządzie gminnym (t.j. Dz. U. z 2024 r. poz. 1465) oraz art. 229 pkt 3 ustawy z dnia 14 czerwca 1960 r. Kodeks postępowania administracyjnego (t.j. Dz. U. z 2024 r. poz. 572), Rada Miejska w Barwicach uchwala, co następuje:</w:t>
      </w:r>
    </w:p>
    <w:p w14:paraId="71E6755D" w14:textId="2487DB7E" w:rsidR="00A77B3E" w:rsidRDefault="00000000">
      <w:pPr>
        <w:keepLines/>
        <w:spacing w:before="120" w:after="120"/>
        <w:ind w:firstLine="340"/>
      </w:pPr>
      <w:r>
        <w:rPr>
          <w:b/>
        </w:rPr>
        <w:t>§ 1. </w:t>
      </w:r>
      <w:r>
        <w:t xml:space="preserve">1 Uznaje się za zasadną skargę Pana </w:t>
      </w:r>
      <w:r w:rsidR="00376C3F">
        <w:t>………..</w:t>
      </w:r>
      <w:r>
        <w:t xml:space="preserve"> z dnia 18 lipca 2024 r. na działalność Burmistrza Barwic.</w:t>
      </w:r>
    </w:p>
    <w:p w14:paraId="313167FF" w14:textId="77777777" w:rsidR="00A77B3E" w:rsidRDefault="00000000">
      <w:pPr>
        <w:keepLines/>
        <w:spacing w:before="120" w:after="120"/>
        <w:ind w:firstLine="340"/>
      </w:pPr>
      <w:r>
        <w:t>2. Uzasadnienie do uchwały stanowi jej załącznik.</w:t>
      </w:r>
    </w:p>
    <w:p w14:paraId="4F6F7B2D" w14:textId="77777777" w:rsidR="00A77B3E" w:rsidRDefault="00000000">
      <w:pPr>
        <w:keepLines/>
        <w:spacing w:before="120" w:after="120"/>
        <w:ind w:firstLine="340"/>
      </w:pPr>
      <w:r>
        <w:rPr>
          <w:b/>
        </w:rPr>
        <w:t>§ 2. </w:t>
      </w:r>
      <w:r>
        <w:t>Zobowiązuje się Przewodniczącego Rady Miejskiej w Barwicach do zawiadomienia Skarżącego o sposobie załatwienia skargi, poprzez doręczenie Skarżącemu odpisu uchwały.</w:t>
      </w:r>
    </w:p>
    <w:p w14:paraId="02D54983" w14:textId="77777777" w:rsidR="00A77B3E" w:rsidRDefault="00000000">
      <w:pPr>
        <w:keepNext/>
        <w:keepLines/>
        <w:spacing w:before="120" w:after="120"/>
        <w:ind w:firstLine="340"/>
      </w:pPr>
      <w:r>
        <w:rPr>
          <w:b/>
        </w:rPr>
        <w:t>§ 3. </w:t>
      </w:r>
      <w:r>
        <w:t>Uchwała wchodzi w życie z dniem podjęcia.</w:t>
      </w:r>
    </w:p>
    <w:p w14:paraId="4B71EA1A" w14:textId="77777777" w:rsidR="00A77B3E" w:rsidRDefault="00A77B3E">
      <w:pPr>
        <w:keepNext/>
        <w:keepLines/>
        <w:spacing w:before="120" w:after="120"/>
        <w:ind w:firstLine="340"/>
      </w:pPr>
    </w:p>
    <w:p w14:paraId="6C2EB42C"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F9233B" w14:paraId="328EF2B8" w14:textId="77777777">
        <w:tc>
          <w:tcPr>
            <w:tcW w:w="2500" w:type="pct"/>
            <w:tcMar>
              <w:top w:w="0" w:type="dxa"/>
              <w:left w:w="0" w:type="dxa"/>
              <w:bottom w:w="0" w:type="dxa"/>
              <w:right w:w="0" w:type="dxa"/>
            </w:tcMar>
            <w:hideMark/>
          </w:tcPr>
          <w:p w14:paraId="56C2ECD3" w14:textId="77777777" w:rsidR="00F9233B" w:rsidRDefault="00F9233B">
            <w:pPr>
              <w:keepNext/>
              <w:keepLines/>
              <w:jc w:val="left"/>
              <w:rPr>
                <w:color w:val="000000"/>
                <w:szCs w:val="22"/>
              </w:rPr>
            </w:pPr>
          </w:p>
        </w:tc>
        <w:tc>
          <w:tcPr>
            <w:tcW w:w="2500" w:type="pct"/>
            <w:tcMar>
              <w:top w:w="0" w:type="dxa"/>
              <w:left w:w="0" w:type="dxa"/>
              <w:bottom w:w="0" w:type="dxa"/>
              <w:right w:w="0" w:type="dxa"/>
            </w:tcMar>
            <w:hideMark/>
          </w:tcPr>
          <w:p w14:paraId="0F0449C6" w14:textId="77777777" w:rsidR="00F9233B"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310242C1"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3EC7ABA6" w14:textId="77777777" w:rsidR="00F9233B" w:rsidRDefault="00F9233B">
      <w:pPr>
        <w:rPr>
          <w:szCs w:val="20"/>
        </w:rPr>
      </w:pPr>
    </w:p>
    <w:p w14:paraId="0D10C85D" w14:textId="77777777" w:rsidR="00F9233B" w:rsidRDefault="00000000">
      <w:pPr>
        <w:jc w:val="center"/>
        <w:rPr>
          <w:szCs w:val="20"/>
        </w:rPr>
      </w:pPr>
      <w:r>
        <w:rPr>
          <w:b/>
          <w:szCs w:val="20"/>
        </w:rPr>
        <w:t>Uzasadnienie</w:t>
      </w:r>
    </w:p>
    <w:p w14:paraId="57E34F15" w14:textId="0B42235B" w:rsidR="00F9233B" w:rsidRDefault="00000000">
      <w:pPr>
        <w:spacing w:before="120" w:after="120"/>
        <w:ind w:firstLine="227"/>
        <w:rPr>
          <w:szCs w:val="20"/>
        </w:rPr>
      </w:pPr>
      <w:r>
        <w:rPr>
          <w:szCs w:val="20"/>
        </w:rPr>
        <w:t>W dniu 18 lipca 2024 r. do Biura Rady Miejskiej w Barwicach wpłynęła skarga Pana</w:t>
      </w:r>
      <w:r w:rsidR="00376C3F">
        <w:rPr>
          <w:szCs w:val="20"/>
        </w:rPr>
        <w:t xml:space="preserve"> …………</w:t>
      </w:r>
      <w:r>
        <w:rPr>
          <w:szCs w:val="20"/>
        </w:rPr>
        <w:t xml:space="preserve"> na działalność Burmistrza Barwic. Skarżący zarzucił Burmistrzowi, że ten jako organ nie udzielił  mu odpowiedzi na pismo z dnia 31 maja 2024 r. w zakresie udostępnienia listy obecności oraz protokołu z zebrania wiejskiego wyborczego w sołectwie Nowe Koprzywno, które odbyło się w dniu 29 maja 2024 r. W kolejnych pismach kierowanych do Rady Skarżący uzupełnił swoje stanowisko o nowe zarzuty dotyczące przebiegu wyborów sołeckich w sołectwie Nowe Koprzywno. Skarżący zarzucił przede wszystkim nieprawidłowe zwołanie zebrania wiejskiego wyborczego, przeprowadzenie wyboru sołtysa na nieprawidłowych kartach do głosowania, naruszenie biernego prawa wyborczego, wątpliwości co do liczby uprawnionych do głosowania wynikające z protokołu zebrania oraz opieszałość w rozpatrywaniu skargi.</w:t>
      </w:r>
    </w:p>
    <w:p w14:paraId="465DB46A" w14:textId="77777777" w:rsidR="00F9233B" w:rsidRDefault="00000000">
      <w:pPr>
        <w:spacing w:before="120" w:after="120"/>
        <w:ind w:firstLine="227"/>
        <w:rPr>
          <w:szCs w:val="20"/>
        </w:rPr>
      </w:pPr>
      <w:r>
        <w:rPr>
          <w:szCs w:val="20"/>
        </w:rPr>
        <w:t>Zgodnie z art. 229 pkt 3 ustawy z dnia 14 czerwca 1960 r. Kodeks postępowania administracyjnego (t.j. Dz. U. z 2024 r. poz. 572)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14:paraId="13DF33E8" w14:textId="77777777" w:rsidR="00F9233B" w:rsidRDefault="00000000">
      <w:pPr>
        <w:spacing w:before="120" w:after="120"/>
        <w:ind w:firstLine="227"/>
        <w:rPr>
          <w:szCs w:val="20"/>
        </w:rPr>
      </w:pPr>
      <w:r>
        <w:rPr>
          <w:szCs w:val="20"/>
        </w:rPr>
        <w:t>Z kolei zgodnie z art. 18b ust. 1 ustawy z dnia 8 marca 1990 r. o samorządzie gminnym (t.j. Dz. U. z 2024 r. poz. 1465) rada gminy rozpatruje skargi na działania wójta i gminnych jednostek organizacyjnych; wnioski oraz petycje składane przez obywateli; w tym celu powołuje Komisję Skarg, Wniosków i Petycji.</w:t>
      </w:r>
    </w:p>
    <w:p w14:paraId="74D7063F" w14:textId="77777777" w:rsidR="00F9233B" w:rsidRDefault="00000000">
      <w:pPr>
        <w:spacing w:before="120" w:after="120"/>
        <w:ind w:firstLine="227"/>
        <w:rPr>
          <w:szCs w:val="20"/>
        </w:rPr>
      </w:pPr>
      <w:r>
        <w:rPr>
          <w:szCs w:val="20"/>
        </w:rPr>
        <w:t>Przewodniczący Rady Miejskiej w Barwicach w dniu 19 lipca 2024 r. przekazał skargę do Komisji Skarg, Wniosków i Petycji Rady Miejskiej w Barwicach celem ustosunkowania się do zarzutów podnoszonych w skardze. Komisja Skarg, Wniosków i Petycji Rady Miejskiej w Barwicach na posiedzeniach w dniach:  25 lipca 2024 r., 19 sierpnia 2024 r. oraz 27 września 2024 r. dokonała analizy złożonej skargi.</w:t>
      </w:r>
    </w:p>
    <w:p w14:paraId="78179D36" w14:textId="77777777" w:rsidR="00F9233B" w:rsidRDefault="00000000">
      <w:pPr>
        <w:spacing w:before="120" w:after="120"/>
        <w:ind w:firstLine="227"/>
        <w:rPr>
          <w:szCs w:val="20"/>
        </w:rPr>
      </w:pPr>
      <w:r>
        <w:rPr>
          <w:szCs w:val="20"/>
        </w:rPr>
        <w:t>Komisja  Skarg, Wniosków i Petycji Rady Miejskiej w Barwicach w pierwszej kolejności ustaliła, że Skarżący oprócz skargi wniósł również protest wyborczy oraz wniosek o przeprowadzenie kontroli przedmiotowych wyborów, które to pisma zostały przekazane do rozpatrzenia przez Komisję Rewizyjną Rady Miejskiej w Barwicach. W świetle powyższego członkowie Komisji na posiedzeniu w dniu 19 sierpnia 2024 r. zgodnie postanowili, że zawieszą postępowanie wyjaśniające w sprawie rozpatrzenia skargi aż do czasu zajęcia przez Komisję Rewizyjną stanowiska w przedmiocie protestu wyborczego oraz wniosku o przeprowadzenie kontroli.</w:t>
      </w:r>
    </w:p>
    <w:p w14:paraId="3CF72A69" w14:textId="77777777" w:rsidR="00F9233B" w:rsidRDefault="00000000">
      <w:pPr>
        <w:spacing w:before="120" w:after="120"/>
        <w:ind w:firstLine="227"/>
        <w:rPr>
          <w:szCs w:val="20"/>
        </w:rPr>
      </w:pPr>
      <w:r>
        <w:rPr>
          <w:szCs w:val="20"/>
        </w:rPr>
        <w:t>Komisja Rewizyjna na posiedzeniu w dniu 18 sierpnia 2024 r. przychyliła się do wniosku Skarżącego o przeprowadzenie kontroli, zaś na wspólnym posiedzeniu Komisji w dniu 27 września 2024 r. uznała protest wyborczy Skarżącego za zasadny. Analiza treści skargi prowadzi do wniosku, że jej treść powiela się z treścią protestu wyborczego. Komisja Skarg, Wniosków i Petycji na wspólnym posiedzeniu Komisji w dniu 27 września 2024 r. zapoznała się ze stanowiskiem Skarżącego oraz Burmistrza Barwic. Dodatkowo na przedmiotowym posiedzeniu członkowie obu Komisji zapoznali się z treścią opinii prawnej dotyczącej oceny legalności przeprowadzonych w dniu 29 maja 2024 r. wyborów sołeckich w sołectwie Nowe Koprzywno.</w:t>
      </w:r>
    </w:p>
    <w:p w14:paraId="7122D97B" w14:textId="77777777" w:rsidR="00F9233B" w:rsidRDefault="00000000">
      <w:pPr>
        <w:spacing w:before="120" w:after="120"/>
        <w:ind w:firstLine="227"/>
        <w:rPr>
          <w:szCs w:val="20"/>
        </w:rPr>
      </w:pPr>
      <w:r>
        <w:rPr>
          <w:szCs w:val="20"/>
        </w:rPr>
        <w:t>W pierwszej kolejności Komisja podzieliła zarzut Skarżącego w przedmiocie braku udostępnienia listy obecności oraz protokołu z zebrania wiejskiego wyborczego w sołectwie Nowe Koprzywno, które odbyło się w dniu 29 maja 2024 r. Żądane przez Skarżącego materiały zostały przekazane dopiero w dniu 23 lipca 2024 r., tj. dopiero po złożeniu przedmiotowej skargi.</w:t>
      </w:r>
    </w:p>
    <w:p w14:paraId="60FE2DA1" w14:textId="77777777" w:rsidR="00F9233B" w:rsidRDefault="00000000">
      <w:pPr>
        <w:spacing w:before="120" w:after="120"/>
        <w:ind w:firstLine="227"/>
        <w:rPr>
          <w:szCs w:val="20"/>
        </w:rPr>
      </w:pPr>
      <w:r>
        <w:rPr>
          <w:szCs w:val="20"/>
        </w:rPr>
        <w:t>Po przeprowadzeniu postępowania wyjaśniającego Komisja Skarg, Wniosków i Petycji podziela stanowisko Skarżącego zawarte w skardze. W trakcie postępowania wyjaśniającego ustalono, że ogłoszenie o terminie zebrania wiejskiego wyborczego zwołanego w sołectwie Nowe Koprzywno na dzień 29 maja 2024 r. nie było zgodne z wymogami określonymi w Statucie Sołectwa Nowe Koprzywna (brak w treści zawiadomienia punktu dot. złożenia sprawozdania z działalności sołtysa i rady sołeckiej za ostatnią kadencję). Zdaniem Komisji niedochowanie wymogów formalnych ogłoszenia naruszyło określoną w statucie procedurę zwoływania wyborczego zebrania wiejskiego. Wiązało się to z dalszymi konsekwencjami, albowiem zwołanie zebrania wiejskiego z naruszeniem postanowień statutu danego sołectwa skutkowało tym, że każda uchwała bądź wybór przeprowadzony na takim zebraniu dotknięte zostały wadą prawną, która stanowić będzie podstawę do stwierdzenia jej nieważności. Zdaniem Komisji już ta okoliczność stanowi samodzielną podstawę do uznania skargi Skarżącego za zasadną.</w:t>
      </w:r>
    </w:p>
    <w:p w14:paraId="122973B3" w14:textId="77777777" w:rsidR="00F9233B" w:rsidRDefault="00000000">
      <w:pPr>
        <w:spacing w:before="120" w:after="120"/>
        <w:ind w:firstLine="227"/>
        <w:rPr>
          <w:szCs w:val="20"/>
        </w:rPr>
      </w:pPr>
      <w:r>
        <w:rPr>
          <w:szCs w:val="20"/>
        </w:rPr>
        <w:t xml:space="preserve">Odnośnie ogłoszenia o terminie zabrania wiejskiego wyborczego Komisja nie podzieliła innego zarzutu Skarżącego, jakoby to sołtys był wyłączną osobą upoważnioną do rozwieszania ogłoszeń na terenie sołectwa. </w:t>
      </w:r>
      <w:r>
        <w:rPr>
          <w:szCs w:val="20"/>
        </w:rPr>
        <w:lastRenderedPageBreak/>
        <w:t>Zgodnie z § 10 ust. 3 Statutu sołectwa Nowe Koprzywno termin i miejsce zebrania wiejskiego sołtys podaje do wiadomości publicznej w sposób zwyczajowo przyjęty w sołectwie, najpóźniej w 7 dniu przed dniem obrad zebrania wiejskiego. Jednakże zauważyć należy, że przedmiotowe uprawnienie sołtysa odnosi się do zwykłych zebrań sołeckich, bowiem zgodnie z  § 20 ust. 3 przedmiotowego Statutu zwołanie zebrania wiejskiego wyborczego jest wyłączną kompetencją Burmistrza Barwic. Ma więc on prawo powierzyć rozwieszenie ogłoszenia upoważnionej przez siebie osobie (np. pracownikowi Urzędu Miejskiego w Barwicach).</w:t>
      </w:r>
    </w:p>
    <w:p w14:paraId="5B485751" w14:textId="77777777" w:rsidR="00F9233B" w:rsidRDefault="00000000">
      <w:pPr>
        <w:spacing w:before="120" w:after="120"/>
        <w:ind w:firstLine="227"/>
        <w:rPr>
          <w:szCs w:val="20"/>
        </w:rPr>
      </w:pPr>
      <w:r>
        <w:rPr>
          <w:szCs w:val="20"/>
        </w:rPr>
        <w:t>Komisja ustaliła również, że błędnie ustalono liczbę uprawnionych do głosowania na podstawie danych meldunkowych. Zgodnie z art. 36 ust. 2 ustawy z dnia 8 marca 1990 r. o samorządzie gminnym (t.j. Dz. U. z 2024 r. poz. 1465) sołtys oraz członkowie rady sołeckiej wybierani są w głosowaniu tajnym, bezpośrednim, spośród nieograniczonej liczby kandydatów, przez stałych mieszkańców sołectwa uprawnionych do głosowania. Ustawodawca nie uzależnia więc posiadania prawa wyborczego od tego, czy dany mieszkaniec sołectwa jest w nim zameldowany. Wystarczające jest bowiem stałe zamieszkiwanie na terenie danego sołectwa. Zgodnie z art. 25 ustawy z dnia 23 kwietnia 1964 r. Kodeks cywilny (t.j. Dz. U. z 2024 r. poz. 1237), miejscem zamieszkania osoby fizycznej jest miejscowość, w której osoba ta przebywa z zamiarem stałego pobytu. Zatem o miejscu zamieszania decydują nie kryteria administracyjne (a więc zameldowanie), ale fakt przebywania w danej miejscowości z zamiarem stałego pobytu. Podobne stanowisko zajął Naczelny Sąd Administracyjny w wyroku z dnia 22 sierpnia 1996 r. (SA/Gd 1956/95) stwierdzając, iż odwołanie się do kryterium zameldowania na pobyt stały, jako warunku uczestniczenia i korzystania z pełnych uprawnień w zebraniu wiejskim narusza prawo.</w:t>
      </w:r>
    </w:p>
    <w:p w14:paraId="014AAE99" w14:textId="77777777" w:rsidR="00F9233B" w:rsidRDefault="00000000">
      <w:pPr>
        <w:spacing w:before="120" w:after="120"/>
        <w:ind w:firstLine="227"/>
        <w:rPr>
          <w:szCs w:val="20"/>
        </w:rPr>
      </w:pPr>
      <w:r>
        <w:rPr>
          <w:szCs w:val="20"/>
        </w:rPr>
        <w:t>Komisja podzieliła również zarzut Skarżącego, że liczba osób uprawnionych do wyboru sołtysa powinna być tożsama z liczbą osób uprawnionych do wyboru rady sołeckiej. Komisja zaleciła w tym zakresie uwagę na potrzebę należytego protokołowania zebrania wiejskiego, na którym odbywają się wybory sołeckie.</w:t>
      </w:r>
    </w:p>
    <w:p w14:paraId="2918D3D6" w14:textId="77777777" w:rsidR="00F9233B" w:rsidRDefault="00000000">
      <w:pPr>
        <w:spacing w:before="120" w:after="120"/>
        <w:ind w:firstLine="227"/>
        <w:rPr>
          <w:szCs w:val="20"/>
        </w:rPr>
      </w:pPr>
      <w:r>
        <w:rPr>
          <w:szCs w:val="20"/>
        </w:rPr>
        <w:t>W świetle powyższego Komisja podzieliła również zarzut Skarżącego w przedmiocie naruszenia jego biernego prawa wyborczego poprzez rozstrzygnięcie kwestii stałego zamieszkiwania Skarżącego w sołectwie podczas zebrania wiejskiego wyborczego. Komisja jednocześnie rekomenduje, by w każdych kolejnych wyborach sołeckich w kwestiach nieuregulowanych ustawą samorządową oraz statutem sołectwa posiłkować się w drodze analogii rozwiązaniami o których mowa w ustawie z dnia 5 stycznia 2011 r. Kodeks wyborczy (t.j. Dz. U. z 2023 r. poz. 2408, z 2024 r. poz. 721.)., m.in. poprzez wykorzystanie danych z Centralnego Rejestru Wyborców, który jest prowadzony w każdej gminie przez danego wójta/burmistrza. Zdaniem Komisji dane z Centralnego Rejestru Wyborców pozwolą każdorazowo na arbitralne i bezstronne ustalenie czy dana osoba posiada prawo wyborcze na terenie danego sołectwa. Zastosowanie powyższego pozwoli na uniknięcie niepotrzebnych wątpliwości w zakresie legalności przeprowadzonych wyborów.</w:t>
      </w:r>
    </w:p>
    <w:p w14:paraId="388391AF" w14:textId="77777777" w:rsidR="00F9233B" w:rsidRDefault="00000000">
      <w:pPr>
        <w:spacing w:before="120" w:after="120"/>
        <w:ind w:firstLine="227"/>
        <w:rPr>
          <w:szCs w:val="20"/>
        </w:rPr>
      </w:pPr>
      <w:r>
        <w:rPr>
          <w:szCs w:val="20"/>
        </w:rPr>
        <w:t>Komisja podzieliła również zarzut Skarżącego dotyczący wykorzystanych kart do głosowania. W opinii Komisji zastosowana karta do głosowania uniemożliwiała oddanie głosu „przeciw” jedynemu kandydatowi na sołtysa. W świetle powyższego Komisja ponownie rekomenduje odwołanie się do Kodeksu wyborczego w kontekście ustalania wzoru karty głosownia, zwłaszcza w przypadku gdy na urząd sołtysa kandydować będzie jedna osoba (analogia z art. 487 Kodeksu wyborczego).</w:t>
      </w:r>
    </w:p>
    <w:p w14:paraId="2A78BCDB" w14:textId="77777777" w:rsidR="00F9233B" w:rsidRDefault="00000000">
      <w:pPr>
        <w:spacing w:before="120" w:after="120"/>
        <w:ind w:firstLine="227"/>
        <w:rPr>
          <w:szCs w:val="20"/>
        </w:rPr>
      </w:pPr>
      <w:r>
        <w:rPr>
          <w:szCs w:val="20"/>
        </w:rPr>
        <w:t>Komisja nie podzieliła zarzutu Skarżącego w przedmiocie naruszenia tajności głosowania podczas zebrania wiejskiego wyborczego zwołanego w sołectwie Nowe Koprzywno na dzień 29 maja 2024 r. W toku postepowania wyjaśniającego Komisja ustaliła, że urna nie była przezroczysta a tym samym niemożliwe było podejrzenie głosów oddanych przez poszczególnych mieszkańców.</w:t>
      </w:r>
    </w:p>
    <w:p w14:paraId="74F1EA48" w14:textId="77777777" w:rsidR="00F9233B" w:rsidRDefault="00000000">
      <w:pPr>
        <w:spacing w:before="120" w:after="120"/>
        <w:ind w:firstLine="227"/>
        <w:rPr>
          <w:szCs w:val="20"/>
        </w:rPr>
      </w:pPr>
      <w:r>
        <w:rPr>
          <w:szCs w:val="20"/>
        </w:rPr>
        <w:t>Komisja nie zgodziła się z zarzutem opieszałości postępowania. Komisja przypomina, że Skarżący był zawiadamiany o wyznaczeniu nowego terminu załatwienia sprawy. Skarżącemu była również znana okoliczność, że Komisja Skarg, Wniosków i Petycji wstrzymała się z rozpatrzeniem skargi do czasu zajęcia stanowiska przez Komisję Rewizyjną w zakresie protestu wyborczego. Dodatkowo Przewodnicząca Komisji Skarg, Wniosków i Petycji na wspólnym posiedzeniu Komisji w dniu 27 września 2024 r. przeprosiła Skarżącego, że nie został poinformowany o terminie wcześniejszego posiedzenia Komisji, na którym rozpatrywano jego skargę.</w:t>
      </w:r>
    </w:p>
    <w:p w14:paraId="7FB5CC5B" w14:textId="77777777" w:rsidR="00F9233B" w:rsidRDefault="00000000">
      <w:pPr>
        <w:spacing w:before="120" w:after="120"/>
        <w:ind w:firstLine="227"/>
        <w:rPr>
          <w:szCs w:val="20"/>
        </w:rPr>
      </w:pPr>
      <w:r>
        <w:rPr>
          <w:szCs w:val="20"/>
        </w:rPr>
        <w:t>Za niezwiązane z przedmiotem skargi Komisja uznała subiektywne odczucia Skarżącego z przebiegu spotkania w Urzędzie Miejskim w Barwicach w dniu 23 lipca 2024 r. dotyczącego planowanego podziału sołectwa Nowe Koprzywno. Żaden z Członków Komisji Skarg, Wniosków i Petycji nie był obecny na przedmiotowym spotkaniu, stąd nie sposób odnieść się do odmiennych wersji przebiegu spotkania.</w:t>
      </w:r>
    </w:p>
    <w:p w14:paraId="7C6DB72A" w14:textId="3B88CA82" w:rsidR="00F9233B" w:rsidRDefault="00000000">
      <w:pPr>
        <w:spacing w:before="120" w:after="120"/>
        <w:ind w:firstLine="227"/>
        <w:rPr>
          <w:szCs w:val="20"/>
        </w:rPr>
      </w:pPr>
      <w:r>
        <w:rPr>
          <w:szCs w:val="20"/>
        </w:rPr>
        <w:lastRenderedPageBreak/>
        <w:t xml:space="preserve">Wobec powyższego po przeprowadzonej analizie skargi Komisja Skarg, Wniosków i Petycji Rady Miejskiej w Barwicach 4 głosami „za” (przy braku głosów „przeciw” oraz 1 głosie wstrzymującym się) uznała skargę Pana </w:t>
      </w:r>
      <w:r w:rsidR="00376C3F">
        <w:rPr>
          <w:szCs w:val="20"/>
        </w:rPr>
        <w:t>……………</w:t>
      </w:r>
      <w:r>
        <w:rPr>
          <w:szCs w:val="20"/>
        </w:rPr>
        <w:t xml:space="preserve"> z dnia 18 lipca 2024 r. na działalność Burmistrza Barwic za zasadną.</w:t>
      </w:r>
    </w:p>
    <w:p w14:paraId="1818CD0E" w14:textId="77777777" w:rsidR="00F9233B" w:rsidRDefault="00000000">
      <w:pPr>
        <w:spacing w:before="120" w:after="120"/>
        <w:ind w:firstLine="227"/>
        <w:rPr>
          <w:szCs w:val="20"/>
        </w:rPr>
      </w:pPr>
      <w:r>
        <w:rPr>
          <w:szCs w:val="20"/>
        </w:rPr>
        <w:t>W świetle powyższego podjęcie przedmiotowej uchwały jest w pełni uzasadnione.</w:t>
      </w:r>
    </w:p>
    <w:p w14:paraId="0A7F633D" w14:textId="77777777" w:rsidR="00F9233B" w:rsidRDefault="00F9233B">
      <w:pPr>
        <w:spacing w:before="120" w:after="120"/>
        <w:ind w:firstLine="227"/>
        <w:rPr>
          <w:szCs w:val="20"/>
        </w:rPr>
      </w:pPr>
    </w:p>
    <w:p w14:paraId="540EC3C5" w14:textId="77777777" w:rsidR="00F9233B" w:rsidRDefault="00F9233B">
      <w:pPr>
        <w:spacing w:before="120" w:after="120"/>
        <w:ind w:firstLine="227"/>
        <w:rPr>
          <w:szCs w:val="20"/>
        </w:rPr>
      </w:pPr>
    </w:p>
    <w:p w14:paraId="557947A3" w14:textId="77777777" w:rsidR="00F9233B" w:rsidRDefault="00F9233B">
      <w:pPr>
        <w:spacing w:before="120" w:after="120"/>
        <w:ind w:firstLine="227"/>
        <w:rPr>
          <w:szCs w:val="20"/>
        </w:rPr>
      </w:pPr>
    </w:p>
    <w:p w14:paraId="28BE27B6" w14:textId="77777777" w:rsidR="00F9233B" w:rsidRDefault="00F9233B">
      <w:pPr>
        <w:spacing w:before="120" w:after="120"/>
        <w:ind w:firstLine="227"/>
        <w:rPr>
          <w:szCs w:val="20"/>
        </w:rPr>
      </w:pPr>
    </w:p>
    <w:p w14:paraId="22062F62" w14:textId="77777777" w:rsidR="00F9233B" w:rsidRDefault="00F9233B">
      <w:pPr>
        <w:spacing w:before="120" w:after="120"/>
        <w:ind w:firstLine="227"/>
        <w:rPr>
          <w:szCs w:val="20"/>
        </w:rPr>
      </w:pPr>
    </w:p>
    <w:p w14:paraId="62549A44" w14:textId="77777777" w:rsidR="00F9233B" w:rsidRDefault="00F9233B">
      <w:pPr>
        <w:spacing w:before="120" w:after="120"/>
        <w:ind w:firstLine="227"/>
        <w:rPr>
          <w:szCs w:val="20"/>
        </w:rPr>
      </w:pPr>
    </w:p>
    <w:p w14:paraId="62AF1079" w14:textId="77777777" w:rsidR="00F9233B" w:rsidRDefault="00F9233B">
      <w:pPr>
        <w:spacing w:before="120" w:after="120"/>
        <w:ind w:firstLine="227"/>
        <w:rPr>
          <w:szCs w:val="20"/>
        </w:rPr>
      </w:pPr>
    </w:p>
    <w:p w14:paraId="7117CFC4" w14:textId="77777777" w:rsidR="00F9233B" w:rsidRDefault="00F9233B">
      <w:pPr>
        <w:spacing w:before="120" w:after="120"/>
        <w:ind w:firstLine="227"/>
        <w:rPr>
          <w:szCs w:val="20"/>
        </w:rPr>
      </w:pPr>
    </w:p>
    <w:p w14:paraId="398A7BED" w14:textId="77777777" w:rsidR="00F9233B" w:rsidRDefault="00F9233B">
      <w:pPr>
        <w:spacing w:before="120" w:after="120"/>
        <w:ind w:firstLine="227"/>
        <w:rPr>
          <w:szCs w:val="20"/>
        </w:rPr>
      </w:pPr>
    </w:p>
    <w:p w14:paraId="10C11854" w14:textId="77777777" w:rsidR="00F9233B" w:rsidRDefault="00F9233B">
      <w:pPr>
        <w:spacing w:before="120" w:after="120"/>
        <w:ind w:firstLine="227"/>
        <w:rPr>
          <w:szCs w:val="20"/>
        </w:rPr>
      </w:pPr>
    </w:p>
    <w:p w14:paraId="5ACF1133" w14:textId="77777777" w:rsidR="00F9233B" w:rsidRDefault="00F9233B">
      <w:pPr>
        <w:spacing w:before="120" w:after="120"/>
        <w:ind w:firstLine="227"/>
        <w:rPr>
          <w:szCs w:val="20"/>
        </w:rPr>
      </w:pPr>
    </w:p>
    <w:p w14:paraId="54D3C4B1" w14:textId="77777777" w:rsidR="00F9233B" w:rsidRDefault="00F9233B">
      <w:pPr>
        <w:spacing w:before="120" w:after="120"/>
        <w:ind w:firstLine="227"/>
        <w:rPr>
          <w:szCs w:val="20"/>
        </w:rPr>
      </w:pPr>
    </w:p>
    <w:p w14:paraId="5B2D9B1B" w14:textId="77777777" w:rsidR="00F9233B" w:rsidRDefault="00F9233B">
      <w:pPr>
        <w:spacing w:before="120" w:after="120"/>
        <w:ind w:firstLine="227"/>
        <w:rPr>
          <w:szCs w:val="20"/>
        </w:rPr>
      </w:pPr>
    </w:p>
    <w:p w14:paraId="7FA44EB8" w14:textId="77777777" w:rsidR="00F9233B" w:rsidRDefault="00F9233B">
      <w:pPr>
        <w:spacing w:before="120" w:after="120"/>
        <w:ind w:firstLine="227"/>
        <w:rPr>
          <w:szCs w:val="20"/>
        </w:rPr>
      </w:pPr>
    </w:p>
    <w:p w14:paraId="5D6CE8F8" w14:textId="77777777" w:rsidR="00F9233B" w:rsidRDefault="00F9233B">
      <w:pPr>
        <w:spacing w:before="120" w:after="120"/>
        <w:ind w:firstLine="227"/>
        <w:rPr>
          <w:szCs w:val="20"/>
        </w:rPr>
      </w:pPr>
    </w:p>
    <w:p w14:paraId="36326350" w14:textId="77777777" w:rsidR="00F9233B" w:rsidRDefault="00F9233B">
      <w:pPr>
        <w:spacing w:before="120" w:after="120"/>
        <w:ind w:firstLine="227"/>
        <w:rPr>
          <w:szCs w:val="20"/>
        </w:rPr>
      </w:pPr>
    </w:p>
    <w:p w14:paraId="4618B925" w14:textId="77777777" w:rsidR="00F9233B" w:rsidRDefault="00F9233B">
      <w:pPr>
        <w:spacing w:before="120" w:after="120"/>
        <w:ind w:firstLine="227"/>
        <w:rPr>
          <w:szCs w:val="20"/>
        </w:rPr>
      </w:pPr>
    </w:p>
    <w:p w14:paraId="3D83AC6A" w14:textId="77777777" w:rsidR="00F9233B" w:rsidRDefault="00F9233B">
      <w:pPr>
        <w:spacing w:before="120" w:after="120"/>
        <w:ind w:firstLine="227"/>
        <w:rPr>
          <w:szCs w:val="20"/>
        </w:rPr>
      </w:pPr>
    </w:p>
    <w:p w14:paraId="7F7A2E87" w14:textId="77777777" w:rsidR="00F9233B" w:rsidRDefault="00F9233B">
      <w:pPr>
        <w:spacing w:before="120" w:after="120"/>
        <w:ind w:firstLine="227"/>
        <w:rPr>
          <w:szCs w:val="20"/>
        </w:rPr>
      </w:pPr>
    </w:p>
    <w:p w14:paraId="0D57F0F3" w14:textId="77777777" w:rsidR="00F9233B" w:rsidRDefault="00F9233B">
      <w:pPr>
        <w:spacing w:before="120" w:after="120"/>
        <w:ind w:firstLine="227"/>
        <w:rPr>
          <w:szCs w:val="20"/>
        </w:rPr>
      </w:pPr>
    </w:p>
    <w:p w14:paraId="01C35028" w14:textId="77777777" w:rsidR="00F9233B" w:rsidRDefault="00F9233B">
      <w:pPr>
        <w:spacing w:before="120" w:after="120"/>
        <w:ind w:firstLine="227"/>
        <w:rPr>
          <w:szCs w:val="20"/>
        </w:rPr>
      </w:pPr>
    </w:p>
    <w:p w14:paraId="3CE6B2A6" w14:textId="77777777" w:rsidR="00F9233B" w:rsidRDefault="00F9233B">
      <w:pPr>
        <w:spacing w:before="120" w:after="120"/>
        <w:ind w:firstLine="227"/>
        <w:rPr>
          <w:szCs w:val="20"/>
        </w:rPr>
      </w:pPr>
    </w:p>
    <w:p w14:paraId="796052E9" w14:textId="77777777" w:rsidR="00F9233B" w:rsidRDefault="00F9233B">
      <w:pPr>
        <w:spacing w:before="120" w:after="120"/>
        <w:ind w:firstLine="227"/>
        <w:rPr>
          <w:szCs w:val="20"/>
        </w:rPr>
      </w:pPr>
    </w:p>
    <w:p w14:paraId="7F59A5DC" w14:textId="77777777" w:rsidR="00F9233B" w:rsidRDefault="00F9233B">
      <w:pPr>
        <w:spacing w:before="120" w:after="120"/>
        <w:ind w:firstLine="227"/>
        <w:rPr>
          <w:szCs w:val="20"/>
        </w:rPr>
      </w:pPr>
    </w:p>
    <w:p w14:paraId="2D3CD472" w14:textId="77777777" w:rsidR="00F9233B" w:rsidRDefault="00F9233B">
      <w:pPr>
        <w:spacing w:before="120" w:after="120"/>
        <w:ind w:firstLine="227"/>
        <w:rPr>
          <w:szCs w:val="20"/>
        </w:rPr>
      </w:pPr>
    </w:p>
    <w:p w14:paraId="11AEE612" w14:textId="77777777" w:rsidR="00F9233B" w:rsidRDefault="00F9233B">
      <w:pPr>
        <w:spacing w:before="120" w:after="120"/>
        <w:ind w:firstLine="227"/>
        <w:rPr>
          <w:szCs w:val="20"/>
        </w:rPr>
      </w:pPr>
    </w:p>
    <w:p w14:paraId="7DBCED0B" w14:textId="77777777" w:rsidR="00F9233B" w:rsidRDefault="00F9233B">
      <w:pPr>
        <w:spacing w:before="120" w:after="120"/>
        <w:ind w:firstLine="227"/>
        <w:rPr>
          <w:szCs w:val="20"/>
        </w:rPr>
      </w:pPr>
    </w:p>
    <w:p w14:paraId="53DEBB27" w14:textId="77777777" w:rsidR="00F9233B" w:rsidRDefault="00F9233B">
      <w:pPr>
        <w:spacing w:before="120" w:after="120"/>
        <w:ind w:firstLine="227"/>
        <w:rPr>
          <w:szCs w:val="20"/>
        </w:rPr>
      </w:pPr>
    </w:p>
    <w:p w14:paraId="22BEA043" w14:textId="77777777" w:rsidR="00F9233B" w:rsidRDefault="00F9233B">
      <w:pPr>
        <w:spacing w:before="120" w:after="120"/>
        <w:ind w:firstLine="227"/>
        <w:rPr>
          <w:szCs w:val="20"/>
        </w:rPr>
      </w:pPr>
    </w:p>
    <w:p w14:paraId="0616DCB2" w14:textId="77777777" w:rsidR="00F9233B" w:rsidRDefault="00F9233B">
      <w:pPr>
        <w:spacing w:before="120" w:after="120"/>
        <w:ind w:firstLine="227"/>
        <w:rPr>
          <w:szCs w:val="20"/>
        </w:rPr>
      </w:pPr>
    </w:p>
    <w:p w14:paraId="361D4E8A" w14:textId="77777777" w:rsidR="00F9233B" w:rsidRDefault="00F9233B">
      <w:pPr>
        <w:spacing w:before="120" w:after="120"/>
        <w:ind w:firstLine="227"/>
        <w:rPr>
          <w:szCs w:val="20"/>
        </w:rPr>
      </w:pPr>
    </w:p>
    <w:p w14:paraId="1D5ACE9D" w14:textId="77777777" w:rsidR="00F9233B" w:rsidRDefault="00F9233B">
      <w:pPr>
        <w:spacing w:before="120" w:after="120"/>
        <w:rPr>
          <w:color w:val="000000"/>
          <w:szCs w:val="20"/>
          <w:u w:color="000000"/>
        </w:rPr>
      </w:pPr>
    </w:p>
    <w:sectPr w:rsidR="00F9233B">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376C3F"/>
    <w:rsid w:val="0052673F"/>
    <w:rsid w:val="007D7415"/>
    <w:rsid w:val="00A77B3E"/>
    <w:rsid w:val="00CA2A55"/>
    <w:rsid w:val="00F053AF"/>
    <w:rsid w:val="00F923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CDFE5"/>
  <w15:docId w15:val="{4F9C6477-FD85-46DC-AF3E-565ADE202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1594</Words>
  <Characters>9564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X/41/2024 z dnia 29 października 2024 r.</dc:title>
  <dc:subject>w sprawie rozpatrzenia skargi na działalność Burmistrza Barwic</dc:subject>
  <dc:creator>Lorkiewicz_J</dc:creator>
  <cp:lastModifiedBy>Justyna Lorkiewicz</cp:lastModifiedBy>
  <cp:revision>3</cp:revision>
  <dcterms:created xsi:type="dcterms:W3CDTF">2024-10-31T07:12:00Z</dcterms:created>
  <dcterms:modified xsi:type="dcterms:W3CDTF">2024-11-05T07:29:00Z</dcterms:modified>
  <cp:category>Akt prawny</cp:category>
</cp:coreProperties>
</file>