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5ACA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VIII/32/2024</w:t>
      </w:r>
      <w:r>
        <w:rPr>
          <w:b/>
          <w:caps/>
        </w:rPr>
        <w:br/>
        <w:t>Rady Miejskiej w Barwicach</w:t>
      </w:r>
    </w:p>
    <w:p w14:paraId="15BE6BC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sierpnia 2024 r.</w:t>
      </w:r>
    </w:p>
    <w:p w14:paraId="453864B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1F7D852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609 z </w:t>
      </w:r>
      <w:proofErr w:type="spellStart"/>
      <w:r>
        <w:t>późn</w:t>
      </w:r>
      <w:proofErr w:type="spellEnd"/>
      <w:r>
        <w:t xml:space="preserve"> zm.) w związku z art. 13 ust. 1 ustawy z dnia 21 sierpnia 1997 r. o gospodarce nieruchomościami (Dz. U. z 2023 r. poz. 344 z </w:t>
      </w:r>
      <w:proofErr w:type="spellStart"/>
      <w:r>
        <w:t>późn</w:t>
      </w:r>
      <w:proofErr w:type="spellEnd"/>
      <w:r>
        <w:t>. zm. ) 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2D69B8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Barwice - nieruchomość zabudowana budynkiem nr 13  - lokal niemieszkalny nr 2  o pow. użytkowej 88,40m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położony w miejscowości Chłopowo na działce ewidencyjnej oznaczonej nr 54/3 o pow. 0,3700ha obręb ewidencyjny Chłopowo - udział 261/1000, księga wieczysta numer KO1I/00029910/3</w:t>
      </w:r>
    </w:p>
    <w:p w14:paraId="4BCA969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 Burmistrzowi Barwic.</w:t>
      </w:r>
    </w:p>
    <w:p w14:paraId="36002AA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F71E01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EAE1FB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2056" w14:paraId="33643C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031E52" w14:textId="77777777" w:rsidR="008F2056" w:rsidRDefault="008F205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AF1924" w14:textId="77777777" w:rsidR="008F205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76D98A7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F2056"/>
    <w:rsid w:val="00A77B3E"/>
    <w:rsid w:val="00BC77DC"/>
    <w:rsid w:val="00C9099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9834B0"/>
  <w15:docId w15:val="{C078D69C-1E87-4535-A27D-5124B6B5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VIII/32/2024 z dnia 30 sierpnia 2024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2024-09-02T08:37:00Z</dcterms:created>
  <dcterms:modified xsi:type="dcterms:W3CDTF">2024-09-02T08:37:00Z</dcterms:modified>
  <cp:category>Akt prawny</cp:category>
</cp:coreProperties>
</file>