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LXII/507/2023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sprzedaż nieruchomości stanowiącej własność Gminy Barwice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344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 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uchwały Nr XXIX/212/13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gospodarowania mieniem Gminy (Dz. Urz. Woj. Zachodniopomorskiego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2422)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sprzedaż nieruchomości stanowiącej własność Gminy Barwice -nieruchomość zabudowana budynkiem nr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lokal mieszkalny nr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miejscowości Liniec  na działce ewidencyjnej oznaczonej nr 240/6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0,2882ha obręb ewidencyjny Łeknica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– udział 151/1000, księga wieczysta numer KO1I/00049959/4.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 Burmistrzowi Barwic.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LXII/507/2023 z dnia 26 października 2023 r.</dc:title>
  <dc:subject>w sprawie wyrażenia zgody na sprzedaż nieruchomości stanowiącej własność Gminy Barwice</dc:subject>
  <dc:creator>Kartarzyna Git</dc:creator>
  <cp:lastModifiedBy>Kartarzyna Git</cp:lastModifiedBy>
  <cp:revision>1</cp:revision>
  <dcterms:created xsi:type="dcterms:W3CDTF">2023-10-30T10:42:02Z</dcterms:created>
  <dcterms:modified xsi:type="dcterms:W3CDTF">2023-10-30T10:42:02Z</dcterms:modified>
  <cp:category>Akt prawny</cp:category>
</cp:coreProperties>
</file>