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87E53" w14:textId="77777777" w:rsidR="00A77B3E" w:rsidRDefault="00000000">
      <w:pPr>
        <w:jc w:val="center"/>
        <w:rPr>
          <w:b/>
          <w:caps/>
        </w:rPr>
      </w:pPr>
      <w:r>
        <w:rPr>
          <w:b/>
          <w:caps/>
        </w:rPr>
        <w:t>Zarządzenie Nr 94/2023</w:t>
      </w:r>
      <w:r>
        <w:rPr>
          <w:b/>
          <w:caps/>
        </w:rPr>
        <w:br/>
        <w:t>Burmistrza Barwic</w:t>
      </w:r>
    </w:p>
    <w:p w14:paraId="46E2F8D7" w14:textId="77777777" w:rsidR="00A77B3E" w:rsidRDefault="00000000">
      <w:pPr>
        <w:spacing w:before="280" w:after="280"/>
        <w:jc w:val="center"/>
        <w:rPr>
          <w:b/>
          <w:caps/>
        </w:rPr>
      </w:pPr>
      <w:r>
        <w:t>z dnia 31 sierpnia 2023 r.</w:t>
      </w:r>
    </w:p>
    <w:p w14:paraId="0C711CE9" w14:textId="77777777" w:rsidR="00A77B3E" w:rsidRDefault="00000000">
      <w:pPr>
        <w:keepNext/>
        <w:spacing w:after="480"/>
        <w:jc w:val="center"/>
      </w:pPr>
      <w:r>
        <w:rPr>
          <w:b/>
        </w:rPr>
        <w:t>w sprawie wprowadzenia zasad (polityki) rachunkowości w Urzędzie Miejskim w Barwicach do projektu pn. „Budowa Punktów Selektywnej Zbiórki Odpadów Komunalnych na terenie Związku Miast i Gmin Dorzecza Parsęty” nr POIS.02.02.00-00-0002/16 w ramach Programu Operacyjnego Infrastruktura i Środowisko 2014-2020 – Budowa PSZOK na terenie Barwice.</w:t>
      </w:r>
    </w:p>
    <w:p w14:paraId="6A6ED116" w14:textId="77777777" w:rsidR="00A77B3E" w:rsidRDefault="00000000">
      <w:pPr>
        <w:keepLines/>
        <w:spacing w:before="120" w:after="120"/>
        <w:ind w:firstLine="227"/>
      </w:pPr>
      <w:r>
        <w:t>Na podstawie art. 10 i art. 13 ustawy z dnia 29 września 1994 r. o rachunkowości (Dz. U. z 2023 r. poz. 120 z </w:t>
      </w:r>
      <w:proofErr w:type="spellStart"/>
      <w:r>
        <w:t>późn</w:t>
      </w:r>
      <w:proofErr w:type="spellEnd"/>
      <w:r>
        <w:t>. zm. ) oraz zgodnie z art. 40 ust 4 pkt 1 ustawy z 27 sierpnia 2009 r. o finansach publicznych (Dz. U. z 2023 r. poz. 1270 z </w:t>
      </w:r>
      <w:proofErr w:type="spellStart"/>
      <w:r>
        <w:t>późn</w:t>
      </w:r>
      <w:proofErr w:type="spellEnd"/>
      <w:r>
        <w:t>. zm.) oraz w rozporządzeniu Ministra Rozwoju i Finansów z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 342), zarządza co następuje:</w:t>
      </w:r>
    </w:p>
    <w:p w14:paraId="38582CE8" w14:textId="77777777" w:rsidR="00A77B3E" w:rsidRDefault="00000000">
      <w:pPr>
        <w:keepLines/>
        <w:spacing w:before="120" w:after="120"/>
        <w:ind w:firstLine="340"/>
      </w:pPr>
      <w:r>
        <w:rPr>
          <w:b/>
        </w:rPr>
        <w:t>§ 1. </w:t>
      </w:r>
      <w:r>
        <w:t>1. Wprowadza się wykaz kont syntetycznych i analitycznych do ewidencji księgowej kosztów, wydatków i przychodów do projektu pn. „Budowa Punktów Selektywnej Zbiórki Odpadów Komunalnych na terenie Związku Miast i Gmin Dorzecza Parsęty” w ramach Programu Operacyjnego Infrastruktura i Środowisko 2014-2020 – Budowa PSZOK na terenie Barwic.</w:t>
      </w:r>
    </w:p>
    <w:p w14:paraId="29BF9A0C" w14:textId="77777777" w:rsidR="00A77B3E" w:rsidRDefault="00000000">
      <w:pPr>
        <w:keepLines/>
        <w:spacing w:before="120" w:after="120"/>
        <w:ind w:firstLine="340"/>
      </w:pPr>
      <w:r>
        <w:t>2. Postanowienia ogólne oraz wykaz kont, o których mowa powyżej stanowi załącznik do niniejszego zarządzenia.</w:t>
      </w:r>
    </w:p>
    <w:p w14:paraId="36858910" w14:textId="77777777" w:rsidR="00A77B3E" w:rsidRDefault="00000000">
      <w:pPr>
        <w:keepLines/>
        <w:spacing w:before="120" w:after="120"/>
        <w:ind w:firstLine="340"/>
      </w:pPr>
      <w:r>
        <w:t>3. Analityka do kont syntetycznych może być rozbudowana w zależności do potrzeb projektu i nie wymaga każdorazowo zmiany Zarządzenia.</w:t>
      </w:r>
    </w:p>
    <w:p w14:paraId="3BE80853" w14:textId="77777777" w:rsidR="00A77B3E" w:rsidRDefault="00000000">
      <w:pPr>
        <w:keepLines/>
        <w:spacing w:before="120" w:after="120"/>
        <w:ind w:firstLine="340"/>
      </w:pPr>
      <w:r>
        <w:rPr>
          <w:b/>
        </w:rPr>
        <w:t>§ 2. </w:t>
      </w:r>
      <w:r>
        <w:t>Zapisy księgowe dokonywane będą na podstawie wyciągów bankowych z Banku Spółdzielczego w Białogardzie O/Barwice, który prowadzi wyodrębniony rachunek bankowy dla projektu o numerze             07 8562 0007 0030 0823 2000 0400.</w:t>
      </w:r>
    </w:p>
    <w:p w14:paraId="4F942601" w14:textId="77777777" w:rsidR="00A77B3E" w:rsidRDefault="00000000">
      <w:pPr>
        <w:keepLines/>
        <w:spacing w:before="120" w:after="120"/>
        <w:ind w:firstLine="340"/>
      </w:pPr>
      <w:r>
        <w:rPr>
          <w:b/>
        </w:rPr>
        <w:t>§ 3. </w:t>
      </w:r>
      <w:r>
        <w:t>Wykonanie zarządzenia powierza się Skarbnikowi Gminy.</w:t>
      </w:r>
    </w:p>
    <w:p w14:paraId="0182C3A4" w14:textId="77777777" w:rsidR="00A77B3E" w:rsidRDefault="00000000">
      <w:pPr>
        <w:keepLines/>
        <w:spacing w:before="120" w:after="120"/>
        <w:ind w:firstLine="340"/>
      </w:pPr>
      <w:r>
        <w:rPr>
          <w:b/>
        </w:rPr>
        <w:t>§ 4. </w:t>
      </w:r>
      <w:r>
        <w:t>Zarządzenie wchodzi w życie z dniem 22 lutego 2023 r.</w:t>
      </w:r>
    </w:p>
    <w:p w14:paraId="109824CD" w14:textId="77777777" w:rsidR="00A77B3E" w:rsidRDefault="00A77B3E">
      <w:pPr>
        <w:keepLines/>
        <w:spacing w:before="120" w:after="120"/>
        <w:ind w:firstLine="340"/>
        <w:sectPr w:rsidR="00A77B3E">
          <w:endnotePr>
            <w:numFmt w:val="decimal"/>
          </w:endnotePr>
          <w:pgSz w:w="11906" w:h="16838"/>
          <w:pgMar w:top="1417" w:right="1020" w:bottom="992" w:left="1020" w:header="708" w:footer="708" w:gutter="0"/>
          <w:cols w:space="708"/>
          <w:docGrid w:linePitch="360"/>
        </w:sectPr>
      </w:pPr>
    </w:p>
    <w:p w14:paraId="37C8851F" w14:textId="77777777" w:rsidR="008B1031" w:rsidRDefault="008B1031">
      <w:pPr>
        <w:jc w:val="right"/>
        <w:rPr>
          <w:b/>
          <w:color w:val="000000"/>
          <w:sz w:val="24"/>
          <w:szCs w:val="20"/>
          <w:shd w:val="clear" w:color="auto" w:fill="FFFFFF"/>
          <w:lang w:val="x-none" w:eastAsia="en-US" w:bidi="ar-SA"/>
        </w:rPr>
      </w:pPr>
    </w:p>
    <w:p w14:paraId="22A7C188" w14:textId="77777777" w:rsidR="008B1031" w:rsidRDefault="008B1031">
      <w:pPr>
        <w:jc w:val="right"/>
        <w:rPr>
          <w:b/>
          <w:color w:val="000000"/>
          <w:sz w:val="24"/>
          <w:szCs w:val="20"/>
          <w:shd w:val="clear" w:color="auto" w:fill="FFFFFF"/>
          <w:lang w:val="x-none" w:eastAsia="en-US" w:bidi="ar-SA"/>
        </w:rPr>
      </w:pPr>
    </w:p>
    <w:p w14:paraId="18B83050" w14:textId="77777777" w:rsidR="008B1031" w:rsidRDefault="008B1031">
      <w:pPr>
        <w:jc w:val="right"/>
        <w:rPr>
          <w:b/>
          <w:color w:val="000000"/>
          <w:sz w:val="24"/>
          <w:szCs w:val="20"/>
          <w:shd w:val="clear" w:color="auto" w:fill="FFFFFF"/>
          <w:lang w:val="x-none" w:eastAsia="en-US" w:bidi="ar-SA"/>
        </w:rPr>
      </w:pPr>
    </w:p>
    <w:p w14:paraId="6D221F7D" w14:textId="77777777" w:rsidR="008B1031" w:rsidRDefault="008B1031">
      <w:pPr>
        <w:jc w:val="right"/>
        <w:rPr>
          <w:b/>
          <w:color w:val="000000"/>
          <w:sz w:val="24"/>
          <w:szCs w:val="20"/>
          <w:shd w:val="clear" w:color="auto" w:fill="FFFFFF"/>
          <w:lang w:val="x-none" w:eastAsia="en-US" w:bidi="ar-SA"/>
        </w:rPr>
      </w:pPr>
    </w:p>
    <w:p w14:paraId="511EE19D" w14:textId="77777777" w:rsidR="008B1031" w:rsidRDefault="008B1031">
      <w:pPr>
        <w:jc w:val="right"/>
        <w:rPr>
          <w:b/>
          <w:color w:val="000000"/>
          <w:sz w:val="24"/>
          <w:szCs w:val="20"/>
          <w:shd w:val="clear" w:color="auto" w:fill="FFFFFF"/>
          <w:lang w:val="x-none" w:eastAsia="en-US" w:bidi="ar-SA"/>
        </w:rPr>
      </w:pPr>
    </w:p>
    <w:p w14:paraId="28C230C2" w14:textId="77777777" w:rsidR="008B1031" w:rsidRDefault="00000000">
      <w:pPr>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Postanowienia ogólne oraz wykaz kont do projektu pn. „Budowa Punktów Selektywnej Zbiórki Odpadów Komunalnych na terenie Związku Miast i Gmin Dorzecza Parsęty” w ramach Programu Operacyjnego Infrastruktura i Środowisko 2014-2020 – Budowa PSZOK na terenie Barwice</w:t>
      </w:r>
    </w:p>
    <w:p w14:paraId="3CD54B75" w14:textId="77777777" w:rsidR="008B1031" w:rsidRDefault="008B1031">
      <w:pPr>
        <w:rPr>
          <w:b/>
          <w:color w:val="000000"/>
          <w:sz w:val="24"/>
          <w:szCs w:val="20"/>
          <w:shd w:val="clear" w:color="auto" w:fill="FFFFFF"/>
          <w:lang w:val="x-none" w:eastAsia="en-US" w:bidi="ar-SA"/>
        </w:rPr>
      </w:pPr>
    </w:p>
    <w:p w14:paraId="5DBC9E32" w14:textId="77777777" w:rsidR="008B1031" w:rsidRDefault="008B1031">
      <w:pPr>
        <w:rPr>
          <w:b/>
          <w:color w:val="000000"/>
          <w:sz w:val="24"/>
          <w:szCs w:val="20"/>
          <w:shd w:val="clear" w:color="auto" w:fill="FFFFFF"/>
          <w:lang w:val="x-none" w:eastAsia="en-US" w:bidi="ar-SA"/>
        </w:rPr>
      </w:pPr>
    </w:p>
    <w:p w14:paraId="280DC413" w14:textId="77777777" w:rsidR="008B1031" w:rsidRDefault="00000000">
      <w:pPr>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 1</w:t>
      </w:r>
    </w:p>
    <w:p w14:paraId="3327D390" w14:textId="77777777" w:rsidR="008B1031" w:rsidRDefault="008B1031">
      <w:pPr>
        <w:jc w:val="center"/>
        <w:rPr>
          <w:b/>
          <w:color w:val="000000"/>
          <w:sz w:val="24"/>
          <w:szCs w:val="20"/>
          <w:shd w:val="clear" w:color="auto" w:fill="FFFFFF"/>
          <w:lang w:val="x-none" w:eastAsia="en-US" w:bidi="ar-SA"/>
        </w:rPr>
      </w:pPr>
    </w:p>
    <w:p w14:paraId="19EBF9CE" w14:textId="77777777" w:rsidR="008B1031" w:rsidRDefault="00000000">
      <w:pPr>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Postanowienia ogólne</w:t>
      </w:r>
    </w:p>
    <w:p w14:paraId="0CDB1A0C" w14:textId="77777777" w:rsidR="008B1031" w:rsidRDefault="008B1031">
      <w:pPr>
        <w:jc w:val="center"/>
        <w:rPr>
          <w:b/>
          <w:color w:val="000000"/>
          <w:sz w:val="24"/>
          <w:szCs w:val="20"/>
          <w:shd w:val="clear" w:color="auto" w:fill="FFFFFF"/>
          <w:lang w:val="x-none" w:eastAsia="en-US" w:bidi="ar-SA"/>
        </w:rPr>
      </w:pPr>
    </w:p>
    <w:p w14:paraId="4C82F967"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1. Księgi rachunkowe powinny być prowadzone od dnia rozpoczynającego rok obrotowy tj. od 1 stycznia każdego roku kalendarzowego do dnia zamknięcia roku obrotowego tj. do 31 grudnia każdego roku kalendarzowego.</w:t>
      </w:r>
    </w:p>
    <w:p w14:paraId="57A6C35A" w14:textId="77777777" w:rsidR="008B1031" w:rsidRDefault="008B1031">
      <w:pPr>
        <w:spacing w:line="276" w:lineRule="auto"/>
        <w:rPr>
          <w:color w:val="000000"/>
          <w:sz w:val="24"/>
          <w:szCs w:val="20"/>
          <w:shd w:val="clear" w:color="auto" w:fill="FFFFFF"/>
          <w:lang w:val="x-none" w:eastAsia="en-US" w:bidi="ar-SA"/>
        </w:rPr>
      </w:pPr>
    </w:p>
    <w:p w14:paraId="33A132DB"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2. Księgi rachunkowe prowadzone są odrębnie dla projektu zgodnie z niżej ustalonym planem kont, z wykorzystaniem użytkowanego programu komputerowego.</w:t>
      </w:r>
    </w:p>
    <w:p w14:paraId="4A28C942" w14:textId="77777777" w:rsidR="008B1031" w:rsidRDefault="008B1031">
      <w:pPr>
        <w:spacing w:line="276" w:lineRule="auto"/>
        <w:rPr>
          <w:color w:val="000000"/>
          <w:sz w:val="24"/>
          <w:szCs w:val="20"/>
          <w:shd w:val="clear" w:color="auto" w:fill="FFFFFF"/>
          <w:lang w:val="x-none" w:eastAsia="en-US" w:bidi="ar-SA"/>
        </w:rPr>
      </w:pPr>
    </w:p>
    <w:p w14:paraId="19BDD0AE"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3. Analitykę dla kont syntetycznych prowadzi się z rozszerzeniem dla działu, rozdziału i paragrafu z czwartą cyfrą „7" i „9".</w:t>
      </w:r>
    </w:p>
    <w:p w14:paraId="21FB65AD" w14:textId="77777777" w:rsidR="008B1031" w:rsidRDefault="008B1031">
      <w:pPr>
        <w:spacing w:line="276" w:lineRule="auto"/>
        <w:rPr>
          <w:color w:val="000000"/>
          <w:sz w:val="24"/>
          <w:szCs w:val="20"/>
          <w:shd w:val="clear" w:color="auto" w:fill="FFFFFF"/>
          <w:lang w:val="x-none" w:eastAsia="en-US" w:bidi="ar-SA"/>
        </w:rPr>
      </w:pPr>
    </w:p>
    <w:p w14:paraId="447855BF"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4. Księgi rachunkowe muszą być prowadzone w języku polskim, w walucie PLN.</w:t>
      </w:r>
    </w:p>
    <w:p w14:paraId="577E4731" w14:textId="77777777" w:rsidR="008B1031" w:rsidRDefault="008B1031">
      <w:pPr>
        <w:spacing w:line="276" w:lineRule="auto"/>
        <w:rPr>
          <w:color w:val="000000"/>
          <w:sz w:val="24"/>
          <w:szCs w:val="20"/>
          <w:shd w:val="clear" w:color="auto" w:fill="FFFFFF"/>
          <w:lang w:val="x-none" w:eastAsia="en-US" w:bidi="ar-SA"/>
        </w:rPr>
      </w:pPr>
    </w:p>
    <w:p w14:paraId="227E1598"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5. Zasady i sposób prowadzenia ksiąg rachunkowych projektu dla budżetu gminy w zakresie:</w:t>
      </w:r>
    </w:p>
    <w:p w14:paraId="5A0F262F"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wykazu kont księgi głównej,</w:t>
      </w:r>
    </w:p>
    <w:p w14:paraId="1238BB3C"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przyjętych zasad ewidencji zdarzeń i operacji na kontach księgi głównej,</w:t>
      </w:r>
    </w:p>
    <w:p w14:paraId="25739E54"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zasad prowadzenia ksiąg pomocniczych oraz ich powiązania z kontami księgi głównej ustala się zgodnie z Rozporządzeniem Ministra Finansów z dnia 13 września 2017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poz.342 z </w:t>
      </w:r>
      <w:proofErr w:type="spellStart"/>
      <w:r>
        <w:rPr>
          <w:color w:val="000000"/>
          <w:sz w:val="24"/>
          <w:szCs w:val="20"/>
          <w:shd w:val="clear" w:color="auto" w:fill="FFFFFF"/>
          <w:lang w:val="x-none" w:eastAsia="en-US" w:bidi="ar-SA"/>
        </w:rPr>
        <w:t>późn</w:t>
      </w:r>
      <w:proofErr w:type="spellEnd"/>
      <w:r>
        <w:rPr>
          <w:color w:val="000000"/>
          <w:sz w:val="24"/>
          <w:szCs w:val="20"/>
          <w:shd w:val="clear" w:color="auto" w:fill="FFFFFF"/>
          <w:lang w:val="x-none" w:eastAsia="en-US" w:bidi="ar-SA"/>
        </w:rPr>
        <w:t>. zm.).</w:t>
      </w:r>
    </w:p>
    <w:p w14:paraId="5F8DB276" w14:textId="77777777" w:rsidR="008B1031" w:rsidRDefault="008B1031">
      <w:pPr>
        <w:spacing w:line="276" w:lineRule="auto"/>
        <w:rPr>
          <w:color w:val="000000"/>
          <w:sz w:val="24"/>
          <w:szCs w:val="20"/>
          <w:shd w:val="clear" w:color="auto" w:fill="FFFFFF"/>
          <w:lang w:val="x-none" w:eastAsia="en-US" w:bidi="ar-SA"/>
        </w:rPr>
      </w:pPr>
    </w:p>
    <w:p w14:paraId="5A0450AD" w14:textId="77777777" w:rsidR="008B1031" w:rsidRDefault="00000000">
      <w:pPr>
        <w:spacing w:line="276" w:lineRule="auto"/>
        <w:rPr>
          <w:color w:val="FF0000"/>
          <w:sz w:val="24"/>
          <w:szCs w:val="20"/>
          <w:shd w:val="clear" w:color="auto" w:fill="FFFFFF"/>
          <w:lang w:val="x-none" w:eastAsia="en-US" w:bidi="ar-SA"/>
        </w:rPr>
      </w:pPr>
      <w:r>
        <w:rPr>
          <w:color w:val="000000"/>
          <w:sz w:val="24"/>
          <w:szCs w:val="20"/>
          <w:shd w:val="clear" w:color="auto" w:fill="FFFFFF"/>
        </w:rPr>
        <w:t>6</w:t>
      </w:r>
      <w:r>
        <w:rPr>
          <w:color w:val="000000"/>
          <w:sz w:val="24"/>
          <w:szCs w:val="20"/>
          <w:shd w:val="clear" w:color="auto" w:fill="FFFFFF"/>
          <w:lang w:val="x-none" w:eastAsia="en-US" w:bidi="ar-SA"/>
        </w:rPr>
        <w:t xml:space="preserve">. Archiwizowanie dokumentów księgowych odbywa się na zasadach określonych w rozporządzeniu Prezesa Rady Ministrów z dnia 18 stycznia 2011r. w sprawie instrukcji kancelaryjnej jednolitych rzeczowych wykazów akt oraz instrukcji w sprawie organizacji i zakresu działania archiwów zakładowych (Dz. U. z 2011r. Nr 14, poz. 67 z </w:t>
      </w:r>
      <w:proofErr w:type="spellStart"/>
      <w:r>
        <w:rPr>
          <w:color w:val="000000"/>
          <w:sz w:val="24"/>
          <w:szCs w:val="20"/>
          <w:shd w:val="clear" w:color="auto" w:fill="FFFFFF"/>
          <w:lang w:val="x-none" w:eastAsia="en-US" w:bidi="ar-SA"/>
        </w:rPr>
        <w:t>późn</w:t>
      </w:r>
      <w:proofErr w:type="spellEnd"/>
      <w:r>
        <w:rPr>
          <w:color w:val="000000"/>
          <w:sz w:val="24"/>
          <w:szCs w:val="20"/>
          <w:shd w:val="clear" w:color="auto" w:fill="FFFFFF"/>
          <w:lang w:val="x-none" w:eastAsia="en-US" w:bidi="ar-SA"/>
        </w:rPr>
        <w:t>. zm.)</w:t>
      </w:r>
      <w:r>
        <w:rPr>
          <w:color w:val="FF0000"/>
          <w:sz w:val="24"/>
          <w:szCs w:val="20"/>
          <w:shd w:val="clear" w:color="auto" w:fill="FFFFFF"/>
          <w:lang w:val="x-none" w:eastAsia="en-US" w:bidi="ar-SA"/>
        </w:rPr>
        <w:t xml:space="preserve"> </w:t>
      </w:r>
    </w:p>
    <w:p w14:paraId="7297E7B1" w14:textId="77777777" w:rsidR="008B1031" w:rsidRDefault="008B1031">
      <w:pPr>
        <w:spacing w:line="276" w:lineRule="auto"/>
        <w:rPr>
          <w:color w:val="FF0000"/>
          <w:sz w:val="24"/>
          <w:szCs w:val="20"/>
          <w:shd w:val="clear" w:color="auto" w:fill="FFFFFF"/>
          <w:lang w:val="x-none" w:eastAsia="en-US" w:bidi="ar-SA"/>
        </w:rPr>
      </w:pPr>
    </w:p>
    <w:p w14:paraId="48A07241" w14:textId="77777777" w:rsidR="008B1031" w:rsidRDefault="008B1031">
      <w:pPr>
        <w:spacing w:line="276" w:lineRule="auto"/>
        <w:rPr>
          <w:color w:val="FF0000"/>
          <w:sz w:val="24"/>
          <w:szCs w:val="20"/>
          <w:shd w:val="clear" w:color="auto" w:fill="FFFFFF"/>
          <w:lang w:val="x-none" w:eastAsia="en-US" w:bidi="ar-SA"/>
        </w:rPr>
      </w:pPr>
    </w:p>
    <w:p w14:paraId="4E4BF251" w14:textId="77777777" w:rsidR="008B1031" w:rsidRDefault="008B1031">
      <w:pPr>
        <w:spacing w:line="276" w:lineRule="auto"/>
        <w:rPr>
          <w:color w:val="FF0000"/>
          <w:sz w:val="24"/>
          <w:szCs w:val="20"/>
          <w:shd w:val="clear" w:color="auto" w:fill="FFFFFF"/>
          <w:lang w:val="x-none" w:eastAsia="en-US" w:bidi="ar-SA"/>
        </w:rPr>
      </w:pPr>
    </w:p>
    <w:p w14:paraId="529BEAEF" w14:textId="77777777" w:rsidR="008B1031" w:rsidRDefault="008B1031">
      <w:pPr>
        <w:spacing w:line="276" w:lineRule="auto"/>
        <w:rPr>
          <w:color w:val="FF0000"/>
          <w:sz w:val="24"/>
          <w:szCs w:val="20"/>
          <w:shd w:val="clear" w:color="auto" w:fill="FFFFFF"/>
          <w:lang w:val="x-none" w:eastAsia="en-US" w:bidi="ar-SA"/>
        </w:rPr>
      </w:pPr>
    </w:p>
    <w:p w14:paraId="4290C70A" w14:textId="77777777" w:rsidR="008B1031" w:rsidRDefault="008B1031">
      <w:pPr>
        <w:spacing w:line="276" w:lineRule="auto"/>
        <w:jc w:val="center"/>
        <w:rPr>
          <w:b/>
          <w:color w:val="000000"/>
          <w:sz w:val="24"/>
          <w:szCs w:val="20"/>
          <w:shd w:val="clear" w:color="auto" w:fill="FFFFFF"/>
          <w:lang w:val="x-none" w:eastAsia="en-US" w:bidi="ar-SA"/>
        </w:rPr>
      </w:pPr>
    </w:p>
    <w:p w14:paraId="473099E8" w14:textId="77777777" w:rsidR="008B1031" w:rsidRDefault="008B1031">
      <w:pPr>
        <w:spacing w:line="276" w:lineRule="auto"/>
        <w:jc w:val="center"/>
        <w:rPr>
          <w:b/>
          <w:color w:val="000000"/>
          <w:sz w:val="24"/>
          <w:szCs w:val="20"/>
          <w:shd w:val="clear" w:color="auto" w:fill="FFFFFF"/>
          <w:lang w:val="x-none" w:eastAsia="en-US" w:bidi="ar-SA"/>
        </w:rPr>
      </w:pPr>
    </w:p>
    <w:p w14:paraId="2E8D39DD" w14:textId="77777777" w:rsidR="008B1031" w:rsidRDefault="00000000">
      <w:pPr>
        <w:spacing w:line="276" w:lineRule="auto"/>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 xml:space="preserve">§ 2 </w:t>
      </w:r>
    </w:p>
    <w:p w14:paraId="7AF1B24A" w14:textId="77777777" w:rsidR="008B1031" w:rsidRDefault="008B1031">
      <w:pPr>
        <w:spacing w:line="276" w:lineRule="auto"/>
        <w:jc w:val="center"/>
        <w:rPr>
          <w:b/>
          <w:color w:val="000000"/>
          <w:sz w:val="24"/>
          <w:szCs w:val="20"/>
          <w:shd w:val="clear" w:color="auto" w:fill="FFFFFF"/>
          <w:lang w:val="x-none" w:eastAsia="en-US" w:bidi="ar-SA"/>
        </w:rPr>
      </w:pPr>
    </w:p>
    <w:p w14:paraId="2551CD60" w14:textId="77777777" w:rsidR="008B1031" w:rsidRDefault="00000000">
      <w:pPr>
        <w:spacing w:line="276" w:lineRule="auto"/>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Wykaz kont dla projektu</w:t>
      </w:r>
    </w:p>
    <w:p w14:paraId="4E40A587" w14:textId="77777777" w:rsidR="008B1031" w:rsidRDefault="008B1031">
      <w:pPr>
        <w:spacing w:line="276" w:lineRule="auto"/>
        <w:jc w:val="center"/>
        <w:rPr>
          <w:b/>
          <w:color w:val="000000"/>
          <w:sz w:val="24"/>
          <w:szCs w:val="20"/>
          <w:shd w:val="clear" w:color="auto" w:fill="FFFFFF"/>
          <w:lang w:val="x-none" w:eastAsia="en-US" w:bidi="ar-SA"/>
        </w:rPr>
      </w:pPr>
    </w:p>
    <w:p w14:paraId="211B1B17"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Plan kont Jednostka - Organ</w:t>
      </w:r>
    </w:p>
    <w:p w14:paraId="27EAFC2D"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133 - rachunek bieżący budżetu</w:t>
      </w:r>
    </w:p>
    <w:p w14:paraId="7CD91460"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223 - rozliczenie wydatków budżetowych</w:t>
      </w:r>
    </w:p>
    <w:p w14:paraId="2EEF9266"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224 - rozrachunki budżetu</w:t>
      </w:r>
    </w:p>
    <w:p w14:paraId="37D01FB5"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240 - pozostałe rozrachunki</w:t>
      </w:r>
    </w:p>
    <w:p w14:paraId="465D35A0"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901 – dochody budżetu</w:t>
      </w:r>
    </w:p>
    <w:p w14:paraId="00DF10EC" w14:textId="77777777" w:rsidR="008B1031" w:rsidRDefault="008B1031">
      <w:pPr>
        <w:spacing w:line="276" w:lineRule="auto"/>
        <w:rPr>
          <w:color w:val="000000"/>
          <w:sz w:val="24"/>
          <w:szCs w:val="20"/>
          <w:shd w:val="clear" w:color="auto" w:fill="FFFFFF"/>
          <w:lang w:val="x-none" w:eastAsia="en-US" w:bidi="ar-SA"/>
        </w:rPr>
      </w:pPr>
    </w:p>
    <w:p w14:paraId="0898E064"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Plan kont Jednostka – Urząd Miejski</w:t>
      </w:r>
    </w:p>
    <w:p w14:paraId="6BE507B6"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011 0065 - środki trwałe wg grup KŚT</w:t>
      </w:r>
    </w:p>
    <w:p w14:paraId="4C65BCFA"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080 153 – środki trwałe w budowie - inwestycja PSZOK</w:t>
      </w:r>
    </w:p>
    <w:p w14:paraId="760F9B9B"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130 019 - rachunek bieżący jednostki </w:t>
      </w:r>
    </w:p>
    <w:p w14:paraId="4FD192E0"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130 900 90026 4307-…-zakup usług pozostałych - środki </w:t>
      </w:r>
      <w:proofErr w:type="spellStart"/>
      <w:r>
        <w:rPr>
          <w:color w:val="000000"/>
          <w:sz w:val="24"/>
          <w:szCs w:val="20"/>
          <w:shd w:val="clear" w:color="auto" w:fill="FFFFFF"/>
          <w:lang w:val="x-none" w:eastAsia="en-US" w:bidi="ar-SA"/>
        </w:rPr>
        <w:t>ue</w:t>
      </w:r>
      <w:proofErr w:type="spellEnd"/>
      <w:r>
        <w:rPr>
          <w:color w:val="000000"/>
          <w:sz w:val="24"/>
          <w:szCs w:val="20"/>
          <w:shd w:val="clear" w:color="auto" w:fill="FFFFFF"/>
          <w:lang w:val="x-none" w:eastAsia="en-US" w:bidi="ar-SA"/>
        </w:rPr>
        <w:t xml:space="preserve"> </w:t>
      </w:r>
    </w:p>
    <w:p w14:paraId="35FC8819"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130 900 90026 4309-…-zakup usług pozostałych - środki własne </w:t>
      </w:r>
    </w:p>
    <w:p w14:paraId="33FDF010"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130 900 90026 6057-…-wydatki inwestycyjne - środki </w:t>
      </w:r>
      <w:proofErr w:type="spellStart"/>
      <w:r>
        <w:rPr>
          <w:color w:val="000000"/>
          <w:sz w:val="24"/>
          <w:szCs w:val="20"/>
          <w:shd w:val="clear" w:color="auto" w:fill="FFFFFF"/>
          <w:lang w:val="x-none" w:eastAsia="en-US" w:bidi="ar-SA"/>
        </w:rPr>
        <w:t>ue</w:t>
      </w:r>
      <w:proofErr w:type="spellEnd"/>
      <w:r>
        <w:rPr>
          <w:color w:val="000000"/>
          <w:sz w:val="24"/>
          <w:szCs w:val="20"/>
          <w:shd w:val="clear" w:color="auto" w:fill="FFFFFF"/>
          <w:lang w:val="x-none" w:eastAsia="en-US" w:bidi="ar-SA"/>
        </w:rPr>
        <w:t xml:space="preserve"> </w:t>
      </w:r>
    </w:p>
    <w:p w14:paraId="2FEF6C81"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130 900 90026 6059-…-wydatki inwestycyjne - środki własne </w:t>
      </w:r>
    </w:p>
    <w:p w14:paraId="0F2270C6"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130 900 90026 6657-…-wydatki inwestycyjne - dotacja celowa </w:t>
      </w:r>
    </w:p>
    <w:p w14:paraId="374D2297"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130 900 90026 6659-…-wydatki inwestycyjne - dotacja celowa</w:t>
      </w:r>
    </w:p>
    <w:p w14:paraId="2534B959"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201 ... - rozrachunki z odbiorcami i dostawcami</w:t>
      </w:r>
    </w:p>
    <w:p w14:paraId="72B75189"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223 64 - rozliczenie wydatków budżetowych</w:t>
      </w:r>
    </w:p>
    <w:p w14:paraId="7DBFFC89"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224 64 - rozliczenie udzielonych dotacji budżetowych</w:t>
      </w:r>
    </w:p>
    <w:p w14:paraId="49481911"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240 011- pozostałe rozrachunki </w:t>
      </w:r>
    </w:p>
    <w:p w14:paraId="6DF68068"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402 - koszty według rodzajów</w:t>
      </w:r>
    </w:p>
    <w:p w14:paraId="24A910D1"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402 900 90026 4307-…-zakup usług pozostałych - środki </w:t>
      </w:r>
      <w:proofErr w:type="spellStart"/>
      <w:r>
        <w:rPr>
          <w:color w:val="000000"/>
          <w:sz w:val="24"/>
          <w:szCs w:val="20"/>
          <w:shd w:val="clear" w:color="auto" w:fill="FFFFFF"/>
          <w:lang w:val="x-none" w:eastAsia="en-US" w:bidi="ar-SA"/>
        </w:rPr>
        <w:t>ue</w:t>
      </w:r>
      <w:proofErr w:type="spellEnd"/>
      <w:r>
        <w:rPr>
          <w:color w:val="000000"/>
          <w:sz w:val="24"/>
          <w:szCs w:val="20"/>
          <w:shd w:val="clear" w:color="auto" w:fill="FFFFFF"/>
          <w:lang w:val="x-none" w:eastAsia="en-US" w:bidi="ar-SA"/>
        </w:rPr>
        <w:t xml:space="preserve"> </w:t>
      </w:r>
    </w:p>
    <w:p w14:paraId="04F6DF4C"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402 900 90026 4309-…-zakup usług pozostałych - środki własne </w:t>
      </w:r>
    </w:p>
    <w:p w14:paraId="0DE11106"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402 900 90026 4309-…-zakup usług pozostałych - dotacja celowa </w:t>
      </w:r>
    </w:p>
    <w:p w14:paraId="0E56BF51"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760 001 – Pozostałe przychody operacyjne</w:t>
      </w:r>
    </w:p>
    <w:p w14:paraId="30F63961"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800 17 - fundusz jednostki</w:t>
      </w:r>
    </w:p>
    <w:p w14:paraId="7104057E"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840 001 - rezerwy i rozliczenia międzyokresowe przychodów</w:t>
      </w:r>
    </w:p>
    <w:p w14:paraId="4253A903"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998 900 90026 4309-…- zaangażowanie wydatków budżetowych roku bieżącego  </w:t>
      </w:r>
    </w:p>
    <w:p w14:paraId="1E87A3D8" w14:textId="77777777" w:rsidR="008B1031" w:rsidRDefault="00000000">
      <w:pPr>
        <w:spacing w:line="276" w:lineRule="auto"/>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998 900 90026 6059-…- zaangażowanie wydatków inwestycyjnych roku bieżącego  </w:t>
      </w:r>
    </w:p>
    <w:p w14:paraId="54A56172" w14:textId="77777777" w:rsidR="008B1031" w:rsidRDefault="008B1031">
      <w:pPr>
        <w:spacing w:line="276" w:lineRule="auto"/>
        <w:rPr>
          <w:b/>
          <w:color w:val="000000"/>
          <w:sz w:val="24"/>
          <w:szCs w:val="20"/>
          <w:shd w:val="clear" w:color="auto" w:fill="FFFFFF"/>
          <w:lang w:val="x-none" w:eastAsia="en-US" w:bidi="ar-SA"/>
        </w:rPr>
      </w:pPr>
    </w:p>
    <w:p w14:paraId="6798334B" w14:textId="77777777" w:rsidR="008B1031" w:rsidRDefault="008B1031">
      <w:pPr>
        <w:jc w:val="left"/>
        <w:rPr>
          <w:color w:val="000000"/>
          <w:szCs w:val="20"/>
          <w:shd w:val="clear" w:color="auto" w:fill="FFFFFF"/>
          <w:lang w:val="x-none" w:eastAsia="en-US" w:bidi="ar-SA"/>
        </w:rPr>
      </w:pPr>
    </w:p>
    <w:p w14:paraId="54F4BF21" w14:textId="77777777" w:rsidR="008B1031" w:rsidRDefault="008B1031">
      <w:pPr>
        <w:jc w:val="left"/>
        <w:rPr>
          <w:color w:val="000000"/>
          <w:szCs w:val="20"/>
          <w:shd w:val="clear" w:color="auto" w:fill="FFFFFF"/>
          <w:lang w:val="x-none" w:eastAsia="en-US" w:bidi="ar-SA"/>
        </w:rPr>
      </w:pPr>
    </w:p>
    <w:p w14:paraId="4C552AA2" w14:textId="77777777" w:rsidR="008B1031" w:rsidRDefault="008B1031">
      <w:pPr>
        <w:jc w:val="left"/>
        <w:rPr>
          <w:color w:val="000000"/>
          <w:szCs w:val="20"/>
          <w:shd w:val="clear" w:color="auto" w:fill="FFFFFF"/>
          <w:lang w:val="x-none" w:eastAsia="en-US" w:bidi="ar-SA"/>
        </w:rPr>
      </w:pPr>
    </w:p>
    <w:p w14:paraId="7A5153ED" w14:textId="77777777" w:rsidR="008B1031" w:rsidRDefault="008B1031">
      <w:pPr>
        <w:jc w:val="left"/>
        <w:rPr>
          <w:color w:val="000000"/>
          <w:szCs w:val="20"/>
          <w:shd w:val="clear" w:color="auto" w:fill="FFFFFF"/>
          <w:lang w:val="x-none" w:eastAsia="en-US" w:bidi="ar-SA"/>
        </w:rPr>
      </w:pPr>
    </w:p>
    <w:p w14:paraId="1D0DAB74" w14:textId="77777777" w:rsidR="008B1031" w:rsidRDefault="008B1031">
      <w:pPr>
        <w:jc w:val="left"/>
        <w:rPr>
          <w:color w:val="000000"/>
          <w:szCs w:val="20"/>
          <w:shd w:val="clear" w:color="auto" w:fill="FFFFFF"/>
          <w:lang w:val="x-none" w:eastAsia="en-US" w:bidi="ar-SA"/>
        </w:rPr>
      </w:pPr>
    </w:p>
    <w:p w14:paraId="30773A76" w14:textId="77777777" w:rsidR="008B1031" w:rsidRDefault="00000000">
      <w:pPr>
        <w:jc w:val="left"/>
        <w:rPr>
          <w:color w:val="000000"/>
          <w:szCs w:val="20"/>
          <w:shd w:val="clear" w:color="auto" w:fill="FFFFFF"/>
          <w:lang w:val="x-none" w:eastAsia="en-US" w:bidi="ar-SA"/>
        </w:rPr>
      </w:pPr>
      <w:r>
        <w:rPr>
          <w:color w:val="000000"/>
          <w:szCs w:val="20"/>
          <w:shd w:val="clear" w:color="auto" w:fill="FFFFFF"/>
          <w:lang w:val="x-none" w:eastAsia="en-US" w:bidi="ar-SA"/>
        </w:rPr>
        <w:fldChar w:fldCharType="begin"/>
      </w:r>
      <w:r>
        <w:rPr>
          <w:color w:val="000000"/>
          <w:szCs w:val="20"/>
          <w:shd w:val="clear" w:color="auto" w:fill="FFFFFF"/>
          <w:lang w:val="x-none" w:eastAsia="en-US" w:bidi="ar-SA"/>
        </w:rPr>
        <w:fldChar w:fldCharType="separate"/>
      </w:r>
      <w:r>
        <w:rPr>
          <w:color w:val="000000"/>
          <w:szCs w:val="20"/>
          <w:shd w:val="clear" w:color="auto" w:fill="FFFFFF"/>
          <w:lang w:val="x-none" w:eastAsia="en-US" w:bidi="ar-SA"/>
        </w:rPr>
        <w:fldChar w:fldCharType="end"/>
      </w:r>
    </w:p>
    <w:sectPr w:rsidR="008B1031">
      <w:pgSz w:w="11907" w:h="16839" w:code="9"/>
      <w:pgMar w:top="1440" w:right="862" w:bottom="1440"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8B1031"/>
    <w:rsid w:val="00A77B3E"/>
    <w:rsid w:val="00AA4475"/>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9BC666"/>
  <w15:docId w15:val="{2916E7E1-916A-44C8-BC03-7ADF7F946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761</Words>
  <Characters>4568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Burmistrz Barwic</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94/2023 z dnia 31 sierpnia 2023 r.</dc:title>
  <dc:subject>w sprawie wprowadzenia zasad (polityki) rachunkowości w^Urzędzie Miejskim w^Barwicach do projektu pn. „Budowa Punktów Selektywnej Zbiórki Odpadów Komunalnych na terenie Związku Miast i^Gmin Dorzecza Parsęty” nr POIS.02.02.00-00-0002/16 w^ramach Programu Operacyjnego Infrastruktura i^Środowisko 2014-2020 – Budowa PSZOK na terenie Barwice.</dc:subject>
  <dc:creator>Admin</dc:creator>
  <cp:lastModifiedBy>gminabarwice@outlook.com</cp:lastModifiedBy>
  <cp:revision>2</cp:revision>
  <dcterms:created xsi:type="dcterms:W3CDTF">2023-09-19T10:42:00Z</dcterms:created>
  <dcterms:modified xsi:type="dcterms:W3CDTF">2023-09-19T10:42:00Z</dcterms:modified>
  <cp:category>Akt prawny</cp:category>
</cp:coreProperties>
</file>